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9716E" w14:textId="5E5FDF53" w:rsidR="00FE7472" w:rsidRDefault="00FE7472" w:rsidP="00FE7472">
      <w:pPr>
        <w:spacing w:after="0" w:line="360" w:lineRule="auto"/>
        <w:jc w:val="center"/>
        <w:rPr>
          <w:rFonts w:ascii="Arial" w:hAnsi="Arial" w:cs="Arial"/>
          <w:b/>
          <w:bCs/>
          <w:sz w:val="22"/>
          <w:szCs w:val="22"/>
          <w:lang w:val="en-US"/>
        </w:rPr>
      </w:pPr>
      <w:r w:rsidRPr="00FE7472">
        <w:rPr>
          <w:rFonts w:ascii="Arial" w:hAnsi="Arial" w:cs="Arial"/>
          <w:b/>
          <w:bCs/>
          <w:sz w:val="22"/>
          <w:szCs w:val="22"/>
          <w:lang w:val="en-US"/>
        </w:rPr>
        <w:t>Response to Reviewers</w:t>
      </w:r>
    </w:p>
    <w:p w14:paraId="7B274BA3" w14:textId="77777777" w:rsidR="00FE7472" w:rsidRPr="00FE7472" w:rsidRDefault="00FE7472" w:rsidP="00FE7472">
      <w:pPr>
        <w:spacing w:after="0" w:line="360" w:lineRule="auto"/>
        <w:jc w:val="center"/>
        <w:rPr>
          <w:rFonts w:ascii="Arial" w:hAnsi="Arial" w:cs="Arial"/>
          <w:b/>
          <w:bCs/>
          <w:sz w:val="22"/>
          <w:szCs w:val="22"/>
          <w:lang w:val="en-US"/>
        </w:rPr>
      </w:pPr>
    </w:p>
    <w:p w14:paraId="76FBF41D" w14:textId="7352E971" w:rsidR="00FE7472" w:rsidRDefault="00FE7472" w:rsidP="00FE7472">
      <w:pPr>
        <w:spacing w:after="0" w:line="360" w:lineRule="auto"/>
        <w:ind w:left="1701" w:hanging="1701"/>
        <w:jc w:val="both"/>
        <w:rPr>
          <w:rFonts w:ascii="Arial" w:hAnsi="Arial" w:cs="Arial"/>
          <w:bCs/>
          <w:iCs/>
          <w:sz w:val="22"/>
          <w:szCs w:val="22"/>
          <w:lang w:val="en-US"/>
        </w:rPr>
      </w:pPr>
      <w:r>
        <w:rPr>
          <w:rFonts w:ascii="Arial" w:hAnsi="Arial" w:cs="Arial"/>
          <w:sz w:val="22"/>
          <w:szCs w:val="22"/>
          <w:lang w:val="en-US"/>
        </w:rPr>
        <w:t xml:space="preserve">Manuscript Title: </w:t>
      </w:r>
      <w:r w:rsidRPr="00FE7472">
        <w:rPr>
          <w:rFonts w:ascii="Arial" w:hAnsi="Arial" w:cs="Arial"/>
          <w:bCs/>
          <w:iCs/>
          <w:sz w:val="22"/>
          <w:szCs w:val="22"/>
          <w:lang w:val="en-US"/>
        </w:rPr>
        <w:t>Enhancing Consumer Acceptance of Zero-Waste Food through Education: A Study on Banana Stem Chips in Indonesia</w:t>
      </w:r>
    </w:p>
    <w:p w14:paraId="64255A29" w14:textId="10624E1E" w:rsidR="00FE7472" w:rsidRDefault="00FE7472" w:rsidP="00FE7472">
      <w:pPr>
        <w:spacing w:after="0" w:line="360" w:lineRule="auto"/>
        <w:jc w:val="both"/>
        <w:rPr>
          <w:rFonts w:ascii="Arial" w:hAnsi="Arial" w:cs="Arial"/>
          <w:bCs/>
          <w:iCs/>
          <w:sz w:val="22"/>
          <w:szCs w:val="22"/>
        </w:rPr>
      </w:pPr>
      <w:r>
        <w:rPr>
          <w:rFonts w:ascii="Arial" w:hAnsi="Arial" w:cs="Arial"/>
          <w:bCs/>
          <w:iCs/>
          <w:sz w:val="22"/>
          <w:szCs w:val="22"/>
          <w:lang w:val="en-US"/>
        </w:rPr>
        <w:t xml:space="preserve">Manuscript ID: </w:t>
      </w:r>
      <w:r w:rsidRPr="00FE7472">
        <w:rPr>
          <w:rFonts w:ascii="Arial" w:hAnsi="Arial" w:cs="Arial"/>
          <w:bCs/>
          <w:iCs/>
          <w:sz w:val="22"/>
          <w:szCs w:val="22"/>
        </w:rPr>
        <w:t>IJFS-2025-000064-2</w:t>
      </w:r>
    </w:p>
    <w:p w14:paraId="24750BFF" w14:textId="77777777" w:rsidR="00FE7472" w:rsidRDefault="00FE7472" w:rsidP="00FE7472">
      <w:pPr>
        <w:spacing w:after="0" w:line="360" w:lineRule="auto"/>
        <w:jc w:val="both"/>
        <w:rPr>
          <w:rFonts w:ascii="Arial" w:hAnsi="Arial" w:cs="Arial"/>
          <w:bCs/>
          <w:iCs/>
          <w:sz w:val="22"/>
          <w:szCs w:val="22"/>
        </w:rPr>
      </w:pPr>
    </w:p>
    <w:p w14:paraId="6749CF0B" w14:textId="47934D3C" w:rsidR="00FE7472" w:rsidRDefault="00FE7472" w:rsidP="00FE7472">
      <w:pPr>
        <w:spacing w:after="0" w:line="360" w:lineRule="auto"/>
        <w:ind w:firstLine="567"/>
        <w:jc w:val="both"/>
        <w:rPr>
          <w:rFonts w:ascii="Arial" w:hAnsi="Arial" w:cs="Arial"/>
          <w:sz w:val="22"/>
          <w:szCs w:val="22"/>
        </w:rPr>
      </w:pPr>
      <w:r w:rsidRPr="00FE7472">
        <w:rPr>
          <w:rFonts w:ascii="Arial" w:hAnsi="Arial" w:cs="Arial"/>
          <w:sz w:val="22"/>
          <w:szCs w:val="22"/>
        </w:rPr>
        <w:t xml:space="preserve">We sincerely thank the </w:t>
      </w:r>
      <w:r>
        <w:rPr>
          <w:rFonts w:ascii="Arial" w:hAnsi="Arial" w:cs="Arial"/>
          <w:sz w:val="22"/>
          <w:szCs w:val="22"/>
        </w:rPr>
        <w:t>editor</w:t>
      </w:r>
      <w:r w:rsidRPr="00FE7472">
        <w:rPr>
          <w:rFonts w:ascii="Arial" w:hAnsi="Arial" w:cs="Arial"/>
          <w:sz w:val="22"/>
          <w:szCs w:val="22"/>
        </w:rPr>
        <w:t xml:space="preserve"> and the </w:t>
      </w:r>
      <w:r>
        <w:rPr>
          <w:rFonts w:ascii="Arial" w:hAnsi="Arial" w:cs="Arial"/>
          <w:sz w:val="22"/>
          <w:szCs w:val="22"/>
        </w:rPr>
        <w:t>reviewers</w:t>
      </w:r>
      <w:r w:rsidRPr="00FE7472">
        <w:rPr>
          <w:rFonts w:ascii="Arial" w:hAnsi="Arial" w:cs="Arial"/>
          <w:sz w:val="22"/>
          <w:szCs w:val="22"/>
        </w:rPr>
        <w:t xml:space="preserve"> for their careful evaluation of our manuscript and for the</w:t>
      </w:r>
      <w:r>
        <w:rPr>
          <w:rFonts w:ascii="Arial" w:hAnsi="Arial" w:cs="Arial"/>
          <w:sz w:val="22"/>
          <w:szCs w:val="22"/>
        </w:rPr>
        <w:t>ir</w:t>
      </w:r>
      <w:r w:rsidRPr="00FE7472">
        <w:rPr>
          <w:rFonts w:ascii="Arial" w:hAnsi="Arial" w:cs="Arial"/>
          <w:sz w:val="22"/>
          <w:szCs w:val="22"/>
        </w:rPr>
        <w:t xml:space="preserve"> constructive comments. We have revised the manuscript accordingly. Below, we provide a detailed, point-by-point response to each comment. All revisions in the manuscript have been clearly highlighted.</w:t>
      </w:r>
    </w:p>
    <w:p w14:paraId="175C2F02" w14:textId="77777777" w:rsidR="00FE7472" w:rsidRDefault="00FE7472" w:rsidP="00FE7472">
      <w:pPr>
        <w:spacing w:after="0" w:line="360" w:lineRule="auto"/>
        <w:jc w:val="both"/>
        <w:rPr>
          <w:rFonts w:ascii="Arial" w:hAnsi="Arial" w:cs="Arial"/>
          <w:sz w:val="22"/>
          <w:szCs w:val="22"/>
        </w:rPr>
      </w:pPr>
    </w:p>
    <w:p w14:paraId="3B309739" w14:textId="7B3D5643" w:rsidR="00FE7472" w:rsidRPr="00FE7472" w:rsidRDefault="00FE7472" w:rsidP="00FE7472">
      <w:pPr>
        <w:spacing w:after="0" w:line="360" w:lineRule="auto"/>
        <w:jc w:val="both"/>
        <w:rPr>
          <w:rFonts w:ascii="Arial" w:hAnsi="Arial" w:cs="Arial"/>
          <w:b/>
          <w:bCs/>
          <w:sz w:val="22"/>
          <w:szCs w:val="22"/>
        </w:rPr>
      </w:pPr>
      <w:r w:rsidRPr="00FE7472">
        <w:rPr>
          <w:rFonts w:ascii="Arial" w:hAnsi="Arial" w:cs="Arial"/>
          <w:b/>
          <w:bCs/>
          <w:sz w:val="22"/>
          <w:szCs w:val="22"/>
        </w:rPr>
        <w:t>Reviewer 1</w:t>
      </w:r>
    </w:p>
    <w:p w14:paraId="7091F744" w14:textId="5CB5E64D" w:rsidR="00FE7472" w:rsidRPr="00FE7472" w:rsidRDefault="00FE7472" w:rsidP="00FE7472">
      <w:pPr>
        <w:spacing w:after="0" w:line="360" w:lineRule="auto"/>
        <w:jc w:val="both"/>
        <w:rPr>
          <w:rFonts w:ascii="Arial" w:hAnsi="Arial" w:cs="Arial"/>
          <w:b/>
          <w:bCs/>
          <w:sz w:val="22"/>
          <w:szCs w:val="22"/>
        </w:rPr>
      </w:pPr>
      <w:r w:rsidRPr="00FE7472">
        <w:rPr>
          <w:rFonts w:ascii="Arial" w:hAnsi="Arial" w:cs="Arial"/>
          <w:b/>
          <w:bCs/>
          <w:sz w:val="22"/>
          <w:szCs w:val="22"/>
        </w:rPr>
        <w:t>Comment 1:</w:t>
      </w:r>
    </w:p>
    <w:p w14:paraId="1E5128EB" w14:textId="2CA32D57" w:rsidR="00FE7472" w:rsidRDefault="00FE7472" w:rsidP="00FE7472">
      <w:pPr>
        <w:spacing w:after="0" w:line="360" w:lineRule="auto"/>
        <w:jc w:val="both"/>
        <w:rPr>
          <w:rFonts w:ascii="Arial" w:hAnsi="Arial" w:cs="Arial"/>
          <w:sz w:val="22"/>
          <w:szCs w:val="22"/>
        </w:rPr>
      </w:pPr>
      <w:r w:rsidRPr="00FE7472">
        <w:rPr>
          <w:rFonts w:ascii="Arial" w:hAnsi="Arial" w:cs="Arial"/>
          <w:sz w:val="22"/>
          <w:szCs w:val="22"/>
        </w:rPr>
        <w:t>Table 1 and Figure 1 present the same results; therefore, I suggest presenting differences in Figure 1 and leaving the averages (± SD) in the table. Also, the discussion needs to be more clearly linked to similar research, and it seems that there may have been an accidental substitution of references.</w:t>
      </w:r>
    </w:p>
    <w:p w14:paraId="3B5E6C74" w14:textId="77777777" w:rsidR="00FE7472" w:rsidRDefault="00FE7472" w:rsidP="00FE7472">
      <w:pPr>
        <w:spacing w:after="0" w:line="360" w:lineRule="auto"/>
        <w:jc w:val="both"/>
        <w:rPr>
          <w:rFonts w:ascii="Arial" w:hAnsi="Arial" w:cs="Arial"/>
          <w:sz w:val="22"/>
          <w:szCs w:val="22"/>
        </w:rPr>
      </w:pPr>
    </w:p>
    <w:p w14:paraId="53FE97B3" w14:textId="5D5C424D" w:rsidR="00FE7472" w:rsidRPr="00FE7472" w:rsidRDefault="00FE7472" w:rsidP="00FE7472">
      <w:pPr>
        <w:spacing w:after="0" w:line="360" w:lineRule="auto"/>
        <w:jc w:val="both"/>
        <w:rPr>
          <w:rFonts w:ascii="Arial" w:hAnsi="Arial" w:cs="Arial"/>
          <w:b/>
          <w:bCs/>
          <w:sz w:val="22"/>
          <w:szCs w:val="22"/>
        </w:rPr>
      </w:pPr>
      <w:r w:rsidRPr="00FE7472">
        <w:rPr>
          <w:rFonts w:ascii="Arial" w:hAnsi="Arial" w:cs="Arial"/>
          <w:b/>
          <w:bCs/>
          <w:sz w:val="22"/>
          <w:szCs w:val="22"/>
        </w:rPr>
        <w:t>Response:</w:t>
      </w:r>
    </w:p>
    <w:p w14:paraId="3605330F" w14:textId="003EF34A" w:rsidR="00FE7472" w:rsidRPr="00FE7472" w:rsidRDefault="00FE7472" w:rsidP="00FE7472">
      <w:pPr>
        <w:spacing w:after="0" w:line="360" w:lineRule="auto"/>
        <w:jc w:val="both"/>
        <w:rPr>
          <w:rFonts w:ascii="Arial" w:hAnsi="Arial" w:cs="Arial"/>
          <w:sz w:val="22"/>
          <w:szCs w:val="22"/>
        </w:rPr>
      </w:pPr>
      <w:r w:rsidRPr="00FE7472">
        <w:rPr>
          <w:rFonts w:ascii="Arial" w:hAnsi="Arial" w:cs="Arial"/>
          <w:sz w:val="22"/>
          <w:szCs w:val="22"/>
        </w:rPr>
        <w:t xml:space="preserve">Regarding the potential redundancy between Table 1 and Figure 1, we carefully reconsidered the presentation of the results. While both are derived from the same dataset, they serve complementary analytical purposes rather than duplicating content. Table 1 provides full statistical transparency, including mean values, standard deviations, </w:t>
      </w:r>
      <w:r w:rsidRPr="00FE7472">
        <w:rPr>
          <w:rFonts w:ascii="Arial" w:hAnsi="Arial" w:cs="Arial"/>
          <w:i/>
          <w:iCs/>
          <w:sz w:val="22"/>
          <w:szCs w:val="22"/>
        </w:rPr>
        <w:t>t</w:t>
      </w:r>
      <w:r w:rsidRPr="00FE7472">
        <w:rPr>
          <w:rFonts w:ascii="Arial" w:hAnsi="Arial" w:cs="Arial"/>
          <w:sz w:val="22"/>
          <w:szCs w:val="22"/>
        </w:rPr>
        <w:t xml:space="preserve">-statistics, and significance levels, which are essential for methodological clarity and reproducibility. In contrast, Figure 1 functions as a visual synthesis of the overall pattern of sensory change, allowing readers to quickly interpret the direction and consistency of </w:t>
      </w:r>
      <w:r>
        <w:rPr>
          <w:rFonts w:ascii="Arial" w:hAnsi="Arial" w:cs="Arial"/>
          <w:sz w:val="22"/>
          <w:szCs w:val="22"/>
        </w:rPr>
        <w:t>pre-post</w:t>
      </w:r>
      <w:r w:rsidRPr="00FE7472">
        <w:rPr>
          <w:rFonts w:ascii="Arial" w:hAnsi="Arial" w:cs="Arial"/>
          <w:sz w:val="22"/>
          <w:szCs w:val="22"/>
        </w:rPr>
        <w:t xml:space="preserve"> differences across attributes. Presenting absolute mean values in the figure enables direct cross-attribute comparison of acceptance levels, whereas a difference-only plot may obscure the baseline sensory context. For this reason, and in line with common reporting practice in consumer sensory studies, we have retained the current structure.</w:t>
      </w:r>
    </w:p>
    <w:p w14:paraId="18F3A884" w14:textId="3D90215A" w:rsidR="00FE7472" w:rsidRPr="00FE7472" w:rsidRDefault="00FE7472" w:rsidP="00FE7472">
      <w:pPr>
        <w:spacing w:after="0" w:line="360" w:lineRule="auto"/>
        <w:jc w:val="both"/>
        <w:rPr>
          <w:rFonts w:ascii="Arial" w:hAnsi="Arial" w:cs="Arial"/>
          <w:sz w:val="22"/>
          <w:szCs w:val="22"/>
        </w:rPr>
      </w:pPr>
      <w:r w:rsidRPr="00FE7472">
        <w:rPr>
          <w:rFonts w:ascii="Arial" w:hAnsi="Arial" w:cs="Arial"/>
          <w:sz w:val="22"/>
          <w:szCs w:val="22"/>
        </w:rPr>
        <w:t xml:space="preserve">Concerning the discussion, we appreciate the reviewer’s observation and have revised this section to strengthen its connection with comparable research on suboptimal foods, </w:t>
      </w:r>
      <w:r>
        <w:rPr>
          <w:rFonts w:ascii="Arial" w:hAnsi="Arial" w:cs="Arial"/>
          <w:sz w:val="22"/>
          <w:szCs w:val="22"/>
        </w:rPr>
        <w:t>sustainability,</w:t>
      </w:r>
      <w:r w:rsidRPr="00FE7472">
        <w:rPr>
          <w:rFonts w:ascii="Arial" w:hAnsi="Arial" w:cs="Arial"/>
          <w:sz w:val="22"/>
          <w:szCs w:val="22"/>
        </w:rPr>
        <w:t xml:space="preserve"> framing, and information-based interventions in sensory evaluation. The revised manuscript now more explicitly situates the findings within the broader literature on cognitive framing effects and </w:t>
      </w:r>
      <w:r>
        <w:rPr>
          <w:rFonts w:ascii="Arial" w:hAnsi="Arial" w:cs="Arial"/>
          <w:sz w:val="22"/>
          <w:szCs w:val="22"/>
        </w:rPr>
        <w:t xml:space="preserve">shifts in </w:t>
      </w:r>
      <w:r w:rsidRPr="00FE7472">
        <w:rPr>
          <w:rFonts w:ascii="Arial" w:hAnsi="Arial" w:cs="Arial"/>
          <w:sz w:val="22"/>
          <w:szCs w:val="22"/>
        </w:rPr>
        <w:t xml:space="preserve">consumer perception. All cited references were carefully </w:t>
      </w:r>
      <w:r w:rsidR="00A706DC">
        <w:rPr>
          <w:rFonts w:ascii="Arial" w:hAnsi="Arial" w:cs="Arial"/>
          <w:sz w:val="22"/>
          <w:szCs w:val="22"/>
        </w:rPr>
        <w:t>rechecked</w:t>
      </w:r>
      <w:r w:rsidRPr="00FE7472">
        <w:rPr>
          <w:rFonts w:ascii="Arial" w:hAnsi="Arial" w:cs="Arial"/>
          <w:sz w:val="22"/>
          <w:szCs w:val="22"/>
        </w:rPr>
        <w:t xml:space="preserve"> to ensure their </w:t>
      </w:r>
      <w:r w:rsidRPr="00FE7472">
        <w:rPr>
          <w:rFonts w:ascii="Arial" w:hAnsi="Arial" w:cs="Arial"/>
          <w:sz w:val="22"/>
          <w:szCs w:val="22"/>
        </w:rPr>
        <w:lastRenderedPageBreak/>
        <w:t xml:space="preserve">relevance and appropriateness to the arguments presented. No unintended </w:t>
      </w:r>
      <w:r>
        <w:rPr>
          <w:rFonts w:ascii="Arial" w:hAnsi="Arial" w:cs="Arial"/>
          <w:kern w:val="0"/>
          <w:sz w:val="22"/>
          <w:szCs w:val="22"/>
          <w14:ligatures w14:val="none"/>
        </w:rPr>
        <w:t>substitutions of references were identified</w:t>
      </w:r>
      <w:r>
        <w:rPr>
          <w:rFonts w:ascii="Arial" w:hAnsi="Arial" w:cs="Arial"/>
          <w:kern w:val="0"/>
          <w:sz w:val="22"/>
          <w:szCs w:val="22"/>
          <w14:ligatures w14:val="none"/>
        </w:rPr>
        <w:t>.</w:t>
      </w:r>
      <w:r>
        <w:rPr>
          <w:rFonts w:ascii="Arial" w:hAnsi="Arial" w:cs="Arial"/>
          <w:kern w:val="0"/>
          <w:sz w:val="22"/>
          <w:szCs w:val="22"/>
          <w14:ligatures w14:val="none"/>
        </w:rPr>
        <w:t xml:space="preserve"> </w:t>
      </w:r>
      <w:r>
        <w:rPr>
          <w:rFonts w:ascii="Arial" w:hAnsi="Arial" w:cs="Arial"/>
          <w:kern w:val="0"/>
          <w:sz w:val="22"/>
          <w:szCs w:val="22"/>
          <w14:ligatures w14:val="none"/>
        </w:rPr>
        <w:t>H</w:t>
      </w:r>
      <w:r>
        <w:rPr>
          <w:rFonts w:ascii="Arial" w:hAnsi="Arial" w:cs="Arial"/>
          <w:kern w:val="0"/>
          <w:sz w:val="22"/>
          <w:szCs w:val="22"/>
          <w14:ligatures w14:val="none"/>
        </w:rPr>
        <w:t xml:space="preserve">owever, the discussion has been refined to clarify and </w:t>
      </w:r>
      <w:r>
        <w:rPr>
          <w:rFonts w:ascii="Arial" w:hAnsi="Arial" w:cs="Arial"/>
          <w:kern w:val="0"/>
          <w:sz w:val="22"/>
          <w:szCs w:val="22"/>
          <w14:ligatures w14:val="none"/>
        </w:rPr>
        <w:t>align</w:t>
      </w:r>
      <w:r>
        <w:rPr>
          <w:rFonts w:ascii="Arial" w:hAnsi="Arial" w:cs="Arial"/>
          <w:kern w:val="0"/>
          <w:sz w:val="22"/>
          <w:szCs w:val="22"/>
          <w14:ligatures w14:val="none"/>
        </w:rPr>
        <w:t xml:space="preserve"> the theor</w:t>
      </w:r>
      <w:r>
        <w:rPr>
          <w:rFonts w:ascii="Arial" w:hAnsi="Arial" w:cs="Arial"/>
          <w:kern w:val="0"/>
          <w:sz w:val="22"/>
          <w:szCs w:val="22"/>
          <w14:ligatures w14:val="none"/>
        </w:rPr>
        <w:t>y</w:t>
      </w:r>
      <w:r>
        <w:rPr>
          <w:rFonts w:ascii="Arial" w:hAnsi="Arial" w:cs="Arial"/>
          <w:kern w:val="0"/>
          <w:sz w:val="22"/>
          <w:szCs w:val="22"/>
          <w14:ligatures w14:val="none"/>
        </w:rPr>
        <w:t xml:space="preserve"> more</w:t>
      </w:r>
      <w:r w:rsidRPr="00FE7472">
        <w:rPr>
          <w:rFonts w:ascii="Arial" w:hAnsi="Arial" w:cs="Arial"/>
          <w:sz w:val="22"/>
          <w:szCs w:val="22"/>
        </w:rPr>
        <w:t xml:space="preserve"> consistent</w:t>
      </w:r>
      <w:r>
        <w:rPr>
          <w:rFonts w:ascii="Arial" w:hAnsi="Arial" w:cs="Arial"/>
          <w:sz w:val="22"/>
          <w:szCs w:val="22"/>
        </w:rPr>
        <w:t>ly</w:t>
      </w:r>
      <w:r w:rsidRPr="00FE7472">
        <w:rPr>
          <w:rFonts w:ascii="Arial" w:hAnsi="Arial" w:cs="Arial"/>
          <w:sz w:val="22"/>
          <w:szCs w:val="22"/>
        </w:rPr>
        <w:t>.</w:t>
      </w:r>
    </w:p>
    <w:p w14:paraId="7B8482DC" w14:textId="77777777" w:rsidR="00FE7472" w:rsidRDefault="00FE7472" w:rsidP="00FE7472">
      <w:pPr>
        <w:spacing w:after="0" w:line="360" w:lineRule="auto"/>
        <w:jc w:val="both"/>
        <w:rPr>
          <w:rFonts w:ascii="Arial" w:hAnsi="Arial" w:cs="Arial"/>
          <w:sz w:val="22"/>
          <w:szCs w:val="22"/>
        </w:rPr>
      </w:pPr>
      <w:r w:rsidRPr="00FE7472">
        <w:rPr>
          <w:rFonts w:ascii="Arial" w:hAnsi="Arial" w:cs="Arial"/>
          <w:sz w:val="22"/>
          <w:szCs w:val="22"/>
        </w:rPr>
        <w:t>We believe these revisions improve the clarity and scholarly integration of the manuscript and hope that the explanation above addresses the reviewer’s concerns.</w:t>
      </w:r>
    </w:p>
    <w:p w14:paraId="6AC67448" w14:textId="77777777" w:rsidR="00FE7472" w:rsidRDefault="00FE7472" w:rsidP="00FE7472">
      <w:pPr>
        <w:spacing w:after="0" w:line="360" w:lineRule="auto"/>
        <w:jc w:val="both"/>
        <w:rPr>
          <w:rFonts w:ascii="Arial" w:hAnsi="Arial" w:cs="Arial"/>
          <w:sz w:val="22"/>
          <w:szCs w:val="22"/>
        </w:rPr>
      </w:pPr>
    </w:p>
    <w:p w14:paraId="4AD7E821" w14:textId="62117171" w:rsidR="00FE7472" w:rsidRPr="00FE7472" w:rsidRDefault="00FE7472" w:rsidP="00FE7472">
      <w:pPr>
        <w:spacing w:after="0" w:line="360" w:lineRule="auto"/>
        <w:jc w:val="both"/>
        <w:rPr>
          <w:rFonts w:ascii="Arial" w:hAnsi="Arial" w:cs="Arial"/>
          <w:b/>
          <w:bCs/>
          <w:sz w:val="22"/>
          <w:szCs w:val="22"/>
        </w:rPr>
      </w:pPr>
      <w:r w:rsidRPr="00FE7472">
        <w:rPr>
          <w:rFonts w:ascii="Arial" w:hAnsi="Arial" w:cs="Arial"/>
          <w:b/>
          <w:bCs/>
          <w:sz w:val="22"/>
          <w:szCs w:val="22"/>
        </w:rPr>
        <w:t>Reviewer 2</w:t>
      </w:r>
    </w:p>
    <w:p w14:paraId="40446617" w14:textId="48402B4C" w:rsidR="00FE7472" w:rsidRPr="002B198B" w:rsidRDefault="00FE7472" w:rsidP="00FE7472">
      <w:pPr>
        <w:spacing w:after="0" w:line="360" w:lineRule="auto"/>
        <w:jc w:val="both"/>
        <w:rPr>
          <w:rFonts w:ascii="Arial" w:hAnsi="Arial" w:cs="Arial"/>
          <w:b/>
          <w:bCs/>
          <w:sz w:val="22"/>
          <w:szCs w:val="22"/>
        </w:rPr>
      </w:pPr>
      <w:r w:rsidRPr="002B198B">
        <w:rPr>
          <w:rFonts w:ascii="Arial" w:hAnsi="Arial" w:cs="Arial"/>
          <w:b/>
          <w:bCs/>
          <w:sz w:val="22"/>
          <w:szCs w:val="22"/>
        </w:rPr>
        <w:t>Comment 1:</w:t>
      </w:r>
    </w:p>
    <w:p w14:paraId="6DE8B1D9" w14:textId="07C551A2" w:rsidR="002B198B" w:rsidRDefault="002B198B" w:rsidP="00FE7472">
      <w:pPr>
        <w:spacing w:after="0" w:line="360" w:lineRule="auto"/>
        <w:jc w:val="both"/>
        <w:rPr>
          <w:rFonts w:ascii="Arial" w:hAnsi="Arial" w:cs="Arial"/>
          <w:sz w:val="22"/>
          <w:szCs w:val="22"/>
        </w:rPr>
      </w:pPr>
      <w:r w:rsidRPr="002B198B">
        <w:rPr>
          <w:rFonts w:ascii="Arial" w:hAnsi="Arial" w:cs="Arial"/>
          <w:sz w:val="22"/>
          <w:szCs w:val="22"/>
        </w:rPr>
        <w:t xml:space="preserve">The abstract lacks quantitative results and methodological precision. Please revise it to </w:t>
      </w:r>
      <w:r>
        <w:rPr>
          <w:rFonts w:ascii="Arial" w:hAnsi="Arial" w:cs="Arial"/>
          <w:sz w:val="22"/>
          <w:szCs w:val="22"/>
        </w:rPr>
        <w:t>include (1)</w:t>
      </w:r>
      <w:r w:rsidRPr="002B198B">
        <w:rPr>
          <w:rFonts w:ascii="Arial" w:hAnsi="Arial" w:cs="Arial"/>
          <w:sz w:val="22"/>
          <w:szCs w:val="22"/>
        </w:rPr>
        <w:t xml:space="preserve"> specific effect sizes/p-values from t-tests, (2) intervention details (posters/infographics on nutrition/sustainability), (3) scale description (5-point hedonic scale), and (4) reliability data (Cronbach's alpha). Avoid prescriptive language ("must use") and focus on evidence-based implications.</w:t>
      </w:r>
    </w:p>
    <w:p w14:paraId="61E372F2" w14:textId="4D627665" w:rsidR="002B198B" w:rsidRPr="00FE7472" w:rsidRDefault="002B198B" w:rsidP="00FE7472">
      <w:pPr>
        <w:spacing w:after="0" w:line="360" w:lineRule="auto"/>
        <w:jc w:val="both"/>
        <w:rPr>
          <w:rFonts w:ascii="Arial" w:hAnsi="Arial" w:cs="Arial"/>
          <w:b/>
          <w:bCs/>
          <w:sz w:val="22"/>
          <w:szCs w:val="22"/>
        </w:rPr>
      </w:pPr>
      <w:r w:rsidRPr="002B198B">
        <w:rPr>
          <w:rFonts w:ascii="Arial" w:hAnsi="Arial" w:cs="Arial"/>
          <w:b/>
          <w:bCs/>
          <w:sz w:val="22"/>
          <w:szCs w:val="22"/>
        </w:rPr>
        <w:t>Response:</w:t>
      </w:r>
    </w:p>
    <w:p w14:paraId="385BC629" w14:textId="603520DE" w:rsidR="00FE7472" w:rsidRDefault="002B198B" w:rsidP="00FE7472">
      <w:pPr>
        <w:spacing w:after="0" w:line="360" w:lineRule="auto"/>
        <w:jc w:val="both"/>
        <w:rPr>
          <w:rFonts w:ascii="Arial" w:hAnsi="Arial" w:cs="Arial"/>
          <w:sz w:val="22"/>
          <w:szCs w:val="22"/>
        </w:rPr>
      </w:pPr>
      <w:r w:rsidRPr="002B198B">
        <w:rPr>
          <w:rFonts w:ascii="Arial" w:hAnsi="Arial" w:cs="Arial"/>
          <w:sz w:val="22"/>
          <w:szCs w:val="22"/>
        </w:rPr>
        <w:t>We have carefully revised the abstract to improve its methodological precision and to provide clearer quantitative evidence.</w:t>
      </w:r>
      <w:r>
        <w:rPr>
          <w:rFonts w:ascii="Arial" w:hAnsi="Arial" w:cs="Arial"/>
          <w:sz w:val="22"/>
          <w:szCs w:val="22"/>
        </w:rPr>
        <w:t xml:space="preserve"> </w:t>
      </w:r>
      <w:r w:rsidRPr="002B198B">
        <w:rPr>
          <w:rFonts w:ascii="Arial" w:hAnsi="Arial" w:cs="Arial"/>
          <w:sz w:val="22"/>
          <w:szCs w:val="22"/>
        </w:rPr>
        <w:t xml:space="preserve">Specifically, the revised abstract now </w:t>
      </w:r>
      <w:r>
        <w:rPr>
          <w:rFonts w:ascii="Arial" w:hAnsi="Arial" w:cs="Arial"/>
          <w:sz w:val="22"/>
          <w:szCs w:val="22"/>
        </w:rPr>
        <w:t>includes (1)</w:t>
      </w:r>
      <w:r w:rsidRPr="002B198B">
        <w:rPr>
          <w:rFonts w:ascii="Arial" w:hAnsi="Arial" w:cs="Arial"/>
          <w:sz w:val="22"/>
          <w:szCs w:val="22"/>
        </w:rPr>
        <w:t xml:space="preserve"> explicit reporting of statistically significant results from the paired-sample </w:t>
      </w:r>
      <w:r w:rsidRPr="002B198B">
        <w:rPr>
          <w:rFonts w:ascii="Arial" w:hAnsi="Arial" w:cs="Arial"/>
          <w:i/>
          <w:iCs/>
          <w:sz w:val="22"/>
          <w:szCs w:val="22"/>
        </w:rPr>
        <w:t>t</w:t>
      </w:r>
      <w:r w:rsidRPr="002B198B">
        <w:rPr>
          <w:rFonts w:ascii="Arial" w:hAnsi="Arial" w:cs="Arial"/>
          <w:sz w:val="22"/>
          <w:szCs w:val="22"/>
        </w:rPr>
        <w:t>-tests (p &lt; 0.01), including the magnitude of mean changes across sensory attributes; (2) a concise description of the educational intervention, clarifying that participants attended a 5–10-minute session consisting of posters and verbal explanations emphasizing nutritional benefits and zero-waste principles; (3) a clear description of the five-point hedonic scale (1 = strongly dislike; 5 = strongly like); and (4) reliability statistics, including Cronbach’s alpha values for both pre-test and post-test measurements.</w:t>
      </w:r>
    </w:p>
    <w:p w14:paraId="2C1B5F25" w14:textId="77777777" w:rsidR="002B198B" w:rsidRDefault="002B198B" w:rsidP="00FE7472">
      <w:pPr>
        <w:spacing w:after="0" w:line="360" w:lineRule="auto"/>
        <w:jc w:val="both"/>
        <w:rPr>
          <w:rFonts w:ascii="Arial" w:hAnsi="Arial" w:cs="Arial"/>
          <w:sz w:val="22"/>
          <w:szCs w:val="22"/>
        </w:rPr>
      </w:pPr>
    </w:p>
    <w:p w14:paraId="5F966FAB" w14:textId="5F250B49" w:rsidR="002B198B" w:rsidRDefault="002B198B" w:rsidP="00FE7472">
      <w:pPr>
        <w:spacing w:after="0" w:line="360" w:lineRule="auto"/>
        <w:jc w:val="both"/>
        <w:rPr>
          <w:rFonts w:ascii="Arial" w:hAnsi="Arial" w:cs="Arial"/>
          <w:sz w:val="22"/>
          <w:szCs w:val="22"/>
        </w:rPr>
      </w:pPr>
      <w:r w:rsidRPr="002B198B">
        <w:rPr>
          <w:rFonts w:ascii="Arial" w:hAnsi="Arial" w:cs="Arial"/>
          <w:b/>
          <w:bCs/>
          <w:sz w:val="22"/>
          <w:szCs w:val="22"/>
        </w:rPr>
        <w:t xml:space="preserve">Comment </w:t>
      </w:r>
      <w:r>
        <w:rPr>
          <w:rFonts w:ascii="Arial" w:hAnsi="Arial" w:cs="Arial"/>
          <w:b/>
          <w:bCs/>
          <w:sz w:val="22"/>
          <w:szCs w:val="22"/>
        </w:rPr>
        <w:t>2</w:t>
      </w:r>
      <w:r w:rsidRPr="002B198B">
        <w:rPr>
          <w:rFonts w:ascii="Arial" w:hAnsi="Arial" w:cs="Arial"/>
          <w:b/>
          <w:bCs/>
          <w:sz w:val="22"/>
          <w:szCs w:val="22"/>
        </w:rPr>
        <w:t>:</w:t>
      </w:r>
    </w:p>
    <w:p w14:paraId="778997D9"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The Introduction would benefit from a clearer narrative flow, moving explicitly from the description of banana biomass and waste in Indonesia to the </w:t>
      </w:r>
      <w:proofErr w:type="spellStart"/>
      <w:r w:rsidRPr="002B198B">
        <w:rPr>
          <w:rFonts w:ascii="Arial" w:hAnsi="Arial" w:cs="Arial"/>
          <w:sz w:val="22"/>
          <w:szCs w:val="22"/>
        </w:rPr>
        <w:t>valorization</w:t>
      </w:r>
      <w:proofErr w:type="spellEnd"/>
      <w:r w:rsidRPr="002B198B">
        <w:rPr>
          <w:rFonts w:ascii="Arial" w:hAnsi="Arial" w:cs="Arial"/>
          <w:sz w:val="22"/>
          <w:szCs w:val="22"/>
        </w:rPr>
        <w:t xml:space="preserve"> opportunity (banana stem chips), and then to the consumer acceptance problem and theoretical framework that motivate the study.</w:t>
      </w:r>
    </w:p>
    <w:p w14:paraId="749357F0"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Consider articulating more explicitly the gap in the research (for example, limited empirical evidence on educational interventions and consumer acceptance of zero-waste products) and how this study addresses it. This will help clarify the contribution of the work presented.</w:t>
      </w:r>
    </w:p>
    <w:p w14:paraId="53A198FC"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The Theory of Planned </w:t>
      </w:r>
      <w:proofErr w:type="spellStart"/>
      <w:r w:rsidRPr="002B198B">
        <w:rPr>
          <w:rFonts w:ascii="Arial" w:hAnsi="Arial" w:cs="Arial"/>
          <w:sz w:val="22"/>
          <w:szCs w:val="22"/>
        </w:rPr>
        <w:t>Behavior</w:t>
      </w:r>
      <w:proofErr w:type="spellEnd"/>
      <w:r w:rsidRPr="002B198B">
        <w:rPr>
          <w:rFonts w:ascii="Arial" w:hAnsi="Arial" w:cs="Arial"/>
          <w:sz w:val="22"/>
          <w:szCs w:val="22"/>
        </w:rPr>
        <w:t xml:space="preserve"> and educational interventions are mentioned but not fully integrated into the specific case of banana stem chips. The theoretical part could be strengthened by clarifying how attitudes, subjective norms, perceived behavioural control, and knowledge may shape consumer sensory evaluations of banana stem chips after the educational intervention.</w:t>
      </w:r>
    </w:p>
    <w:p w14:paraId="7976CCB1"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lastRenderedPageBreak/>
        <w:t>The Introduction needs to be revised for style and clarity: ensure that the formatting and spacing of citations are consistent (example: “</w:t>
      </w:r>
      <w:proofErr w:type="spellStart"/>
      <w:r w:rsidRPr="002B198B">
        <w:rPr>
          <w:rFonts w:ascii="Arial" w:hAnsi="Arial" w:cs="Arial"/>
          <w:sz w:val="22"/>
          <w:szCs w:val="22"/>
        </w:rPr>
        <w:t>TheoryRogers</w:t>
      </w:r>
      <w:proofErr w:type="spellEnd"/>
      <w:r w:rsidRPr="002B198B">
        <w:rPr>
          <w:rFonts w:ascii="Arial" w:hAnsi="Arial" w:cs="Arial"/>
          <w:sz w:val="22"/>
          <w:szCs w:val="22"/>
        </w:rPr>
        <w:t>”, “Behaviour, Ajzen”). It is necessary to define “suboptimal foods” in this context and provide a brief description of what is meant by “educational intervention”.</w:t>
      </w:r>
    </w:p>
    <w:p w14:paraId="5D9797A3"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It would be useful to clarify how this product fits into broader circular economy or zero waste strategies in banana value chains in Indonesia and why the findings are particularly informative for the stakeholders mentioned (educators, entrepreneurs, policymakers).</w:t>
      </w:r>
    </w:p>
    <w:p w14:paraId="55BE7CC4" w14:textId="5FC070AD" w:rsidR="002B198B" w:rsidRDefault="002B198B" w:rsidP="00FE7472">
      <w:pPr>
        <w:spacing w:after="0" w:line="360" w:lineRule="auto"/>
        <w:jc w:val="both"/>
        <w:rPr>
          <w:rFonts w:ascii="Arial" w:hAnsi="Arial" w:cs="Arial"/>
          <w:sz w:val="22"/>
          <w:szCs w:val="22"/>
        </w:rPr>
      </w:pPr>
      <w:r w:rsidRPr="002B198B">
        <w:rPr>
          <w:rFonts w:ascii="Arial" w:hAnsi="Arial" w:cs="Arial"/>
          <w:sz w:val="22"/>
          <w:szCs w:val="22"/>
        </w:rPr>
        <w:t>The authors may reinforce the end of the Introduction by presenting the research question/s, followed by a concise statement of the expected contribution.</w:t>
      </w:r>
    </w:p>
    <w:p w14:paraId="1A3068F3" w14:textId="77777777" w:rsidR="002B198B" w:rsidRPr="00FE7472" w:rsidRDefault="002B198B" w:rsidP="002B198B">
      <w:pPr>
        <w:spacing w:after="0" w:line="360" w:lineRule="auto"/>
        <w:jc w:val="both"/>
        <w:rPr>
          <w:rFonts w:ascii="Arial" w:hAnsi="Arial" w:cs="Arial"/>
          <w:b/>
          <w:bCs/>
          <w:sz w:val="22"/>
          <w:szCs w:val="22"/>
        </w:rPr>
      </w:pPr>
      <w:r w:rsidRPr="002B198B">
        <w:rPr>
          <w:rFonts w:ascii="Arial" w:hAnsi="Arial" w:cs="Arial"/>
          <w:b/>
          <w:bCs/>
          <w:sz w:val="22"/>
          <w:szCs w:val="22"/>
        </w:rPr>
        <w:t>Response:</w:t>
      </w:r>
    </w:p>
    <w:p w14:paraId="12A98D22" w14:textId="1D1EADC8"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We sincerely thank the reviewer for this thoughtful and constructive feedback on the </w:t>
      </w:r>
      <w:r>
        <w:rPr>
          <w:rFonts w:ascii="Arial" w:hAnsi="Arial" w:cs="Arial"/>
          <w:sz w:val="22"/>
          <w:szCs w:val="22"/>
        </w:rPr>
        <w:t>introduction.</w:t>
      </w:r>
      <w:r w:rsidRPr="002B198B">
        <w:rPr>
          <w:rFonts w:ascii="Arial" w:hAnsi="Arial" w:cs="Arial"/>
          <w:sz w:val="22"/>
          <w:szCs w:val="22"/>
        </w:rPr>
        <w:t xml:space="preserve"> We have carefully revised this section to improve its narrative coherence, theoretical integration, and clarity of contribution.</w:t>
      </w:r>
    </w:p>
    <w:p w14:paraId="0D980009" w14:textId="35C1DC1A"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First, the </w:t>
      </w:r>
      <w:r>
        <w:rPr>
          <w:rFonts w:ascii="Arial" w:hAnsi="Arial" w:cs="Arial"/>
          <w:sz w:val="22"/>
          <w:szCs w:val="22"/>
        </w:rPr>
        <w:t>introduction</w:t>
      </w:r>
      <w:r w:rsidRPr="002B198B">
        <w:rPr>
          <w:rFonts w:ascii="Arial" w:hAnsi="Arial" w:cs="Arial"/>
          <w:sz w:val="22"/>
          <w:szCs w:val="22"/>
        </w:rPr>
        <w:t xml:space="preserve"> has been reorganized to establish a clearer logical progression: beginning with the scale of banana biomass production and associated agricultural waste in Indonesia, </w:t>
      </w:r>
      <w:r>
        <w:rPr>
          <w:rFonts w:ascii="Arial" w:hAnsi="Arial" w:cs="Arial"/>
          <w:sz w:val="22"/>
          <w:szCs w:val="22"/>
        </w:rPr>
        <w:t>then</w:t>
      </w:r>
      <w:r w:rsidRPr="002B198B">
        <w:rPr>
          <w:rFonts w:ascii="Arial" w:hAnsi="Arial" w:cs="Arial"/>
          <w:sz w:val="22"/>
          <w:szCs w:val="22"/>
        </w:rPr>
        <w:t xml:space="preserve"> the </w:t>
      </w:r>
      <w:proofErr w:type="spellStart"/>
      <w:r w:rsidRPr="002B198B">
        <w:rPr>
          <w:rFonts w:ascii="Arial" w:hAnsi="Arial" w:cs="Arial"/>
          <w:sz w:val="22"/>
          <w:szCs w:val="22"/>
        </w:rPr>
        <w:t>valorization</w:t>
      </w:r>
      <w:proofErr w:type="spellEnd"/>
      <w:r w:rsidRPr="002B198B">
        <w:rPr>
          <w:rFonts w:ascii="Arial" w:hAnsi="Arial" w:cs="Arial"/>
          <w:sz w:val="22"/>
          <w:szCs w:val="22"/>
        </w:rPr>
        <w:t xml:space="preserve"> opportunity represented by banana stem chips, and </w:t>
      </w:r>
      <w:r>
        <w:rPr>
          <w:rFonts w:ascii="Arial" w:hAnsi="Arial" w:cs="Arial"/>
          <w:sz w:val="22"/>
          <w:szCs w:val="22"/>
        </w:rPr>
        <w:t>finally</w:t>
      </w:r>
      <w:r w:rsidRPr="002B198B">
        <w:rPr>
          <w:rFonts w:ascii="Arial" w:hAnsi="Arial" w:cs="Arial"/>
          <w:sz w:val="22"/>
          <w:szCs w:val="22"/>
        </w:rPr>
        <w:t xml:space="preserve"> the challenge of consumer acceptance of zero-waste or suboptimal foods. This restructuring strengthens the transition from environmental context to product innovation and then to the </w:t>
      </w:r>
      <w:proofErr w:type="spellStart"/>
      <w:r w:rsidRPr="002B198B">
        <w:rPr>
          <w:rFonts w:ascii="Arial" w:hAnsi="Arial" w:cs="Arial"/>
          <w:sz w:val="22"/>
          <w:szCs w:val="22"/>
        </w:rPr>
        <w:t>behavioral</w:t>
      </w:r>
      <w:proofErr w:type="spellEnd"/>
      <w:r w:rsidRPr="002B198B">
        <w:rPr>
          <w:rFonts w:ascii="Arial" w:hAnsi="Arial" w:cs="Arial"/>
          <w:sz w:val="22"/>
          <w:szCs w:val="22"/>
        </w:rPr>
        <w:t xml:space="preserve"> research problem.</w:t>
      </w:r>
    </w:p>
    <w:p w14:paraId="1B462156" w14:textId="34E028F8"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Second, we have </w:t>
      </w:r>
      <w:r>
        <w:rPr>
          <w:rFonts w:ascii="Arial" w:hAnsi="Arial" w:cs="Arial"/>
          <w:sz w:val="22"/>
          <w:szCs w:val="22"/>
        </w:rPr>
        <w:t xml:space="preserve">more explicitly </w:t>
      </w:r>
      <w:r w:rsidRPr="002B198B">
        <w:rPr>
          <w:rFonts w:ascii="Arial" w:hAnsi="Arial" w:cs="Arial"/>
          <w:sz w:val="22"/>
          <w:szCs w:val="22"/>
        </w:rPr>
        <w:t xml:space="preserve">articulated the research gap. The revised manuscript now clearly states that, although prior studies have examined consumer attitudes toward sustainable or imperfect foods, there remains limited empirical evidence on how short educational interventions influence sensory acceptance of zero-waste products derived from agricultural by-products, particularly in developing country contexts. We clarify how this study contributes by providing quantitative </w:t>
      </w:r>
      <w:r>
        <w:rPr>
          <w:rFonts w:ascii="Arial" w:hAnsi="Arial" w:cs="Arial"/>
          <w:sz w:val="22"/>
          <w:szCs w:val="22"/>
        </w:rPr>
        <w:t>pre-post</w:t>
      </w:r>
      <w:r w:rsidRPr="002B198B">
        <w:rPr>
          <w:rFonts w:ascii="Arial" w:hAnsi="Arial" w:cs="Arial"/>
          <w:sz w:val="22"/>
          <w:szCs w:val="22"/>
        </w:rPr>
        <w:t xml:space="preserve"> evidence linking targeted information to measurable changes in sensory evaluation.</w:t>
      </w:r>
    </w:p>
    <w:p w14:paraId="6C799186" w14:textId="3E169262"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Third, the theoretical framework has been strengthened and more explicitly connected to the case of banana stem chips. The revised Introduction now clarifies how attitudes (e.g., perceived product desirability), subjective norms (e.g., sustainability-oriented social cues), and perceived </w:t>
      </w:r>
      <w:proofErr w:type="spellStart"/>
      <w:r w:rsidRPr="002B198B">
        <w:rPr>
          <w:rFonts w:ascii="Arial" w:hAnsi="Arial" w:cs="Arial"/>
          <w:sz w:val="22"/>
          <w:szCs w:val="22"/>
        </w:rPr>
        <w:t>behavioral</w:t>
      </w:r>
      <w:proofErr w:type="spellEnd"/>
      <w:r w:rsidRPr="002B198B">
        <w:rPr>
          <w:rFonts w:ascii="Arial" w:hAnsi="Arial" w:cs="Arial"/>
          <w:sz w:val="22"/>
          <w:szCs w:val="22"/>
        </w:rPr>
        <w:t xml:space="preserve"> control (e.g., reduced uncertainty regarding safety and processing) may shape consumer sensory evaluations after exposure to educational content. The role of knowledge</w:t>
      </w:r>
      <w:r>
        <w:rPr>
          <w:rFonts w:ascii="Arial" w:hAnsi="Arial" w:cs="Arial"/>
          <w:sz w:val="22"/>
          <w:szCs w:val="22"/>
        </w:rPr>
        <w:t>,</w:t>
      </w:r>
      <w:r w:rsidRPr="002B198B">
        <w:rPr>
          <w:rFonts w:ascii="Arial" w:hAnsi="Arial" w:cs="Arial"/>
          <w:sz w:val="22"/>
          <w:szCs w:val="22"/>
        </w:rPr>
        <w:t xml:space="preserve"> as emphasized in the Diffusion of Innovation framework</w:t>
      </w:r>
      <w:r>
        <w:rPr>
          <w:rFonts w:ascii="Arial" w:hAnsi="Arial" w:cs="Arial"/>
          <w:sz w:val="22"/>
          <w:szCs w:val="22"/>
        </w:rPr>
        <w:t>,</w:t>
      </w:r>
      <w:r w:rsidRPr="002B198B">
        <w:rPr>
          <w:rFonts w:ascii="Arial" w:hAnsi="Arial" w:cs="Arial"/>
          <w:sz w:val="22"/>
          <w:szCs w:val="22"/>
        </w:rPr>
        <w:t xml:space="preserve"> is now more directly linked to the intervention design.</w:t>
      </w:r>
    </w:p>
    <w:p w14:paraId="0ED0B752"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lastRenderedPageBreak/>
        <w:t>We have also improved stylistic clarity by correcting formatting inconsistencies in citations and terminology (e.g., spacing issues and reference formatting). The term “suboptimal foods” is now explicitly defined in context, and the concept of “educational intervention” is briefly described as a structured information session combining visual materials and verbal explanation.</w:t>
      </w:r>
    </w:p>
    <w:p w14:paraId="0E9EFF1E" w14:textId="77777777" w:rsidR="002B198B" w:rsidRDefault="002B198B" w:rsidP="00FE7472">
      <w:pPr>
        <w:spacing w:after="0" w:line="360" w:lineRule="auto"/>
        <w:jc w:val="both"/>
        <w:rPr>
          <w:rFonts w:ascii="Arial" w:hAnsi="Arial" w:cs="Arial"/>
          <w:sz w:val="22"/>
          <w:szCs w:val="22"/>
        </w:rPr>
      </w:pPr>
    </w:p>
    <w:p w14:paraId="4C6451A2" w14:textId="74EAB762" w:rsidR="002B198B" w:rsidRDefault="002B198B" w:rsidP="00FE7472">
      <w:pPr>
        <w:spacing w:after="0" w:line="360" w:lineRule="auto"/>
        <w:jc w:val="both"/>
        <w:rPr>
          <w:rFonts w:ascii="Arial" w:hAnsi="Arial" w:cs="Arial"/>
          <w:b/>
          <w:bCs/>
          <w:sz w:val="22"/>
          <w:szCs w:val="22"/>
        </w:rPr>
      </w:pPr>
      <w:r w:rsidRPr="002B198B">
        <w:rPr>
          <w:rFonts w:ascii="Arial" w:hAnsi="Arial" w:cs="Arial"/>
          <w:b/>
          <w:bCs/>
          <w:sz w:val="22"/>
          <w:szCs w:val="22"/>
        </w:rPr>
        <w:t xml:space="preserve">Comment </w:t>
      </w:r>
      <w:r>
        <w:rPr>
          <w:rFonts w:ascii="Arial" w:hAnsi="Arial" w:cs="Arial"/>
          <w:b/>
          <w:bCs/>
          <w:sz w:val="22"/>
          <w:szCs w:val="22"/>
        </w:rPr>
        <w:t>3</w:t>
      </w:r>
      <w:r w:rsidRPr="002B198B">
        <w:rPr>
          <w:rFonts w:ascii="Arial" w:hAnsi="Arial" w:cs="Arial"/>
          <w:b/>
          <w:bCs/>
          <w:sz w:val="22"/>
          <w:szCs w:val="22"/>
        </w:rPr>
        <w:t>:</w:t>
      </w:r>
    </w:p>
    <w:p w14:paraId="6A4A2079"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It would be helpful to add a brief subsection titled "Study Design and Participants" specifying the study design, the tourist recruitment procedure, the inclusion/exclusion criteria, and the final number of participants in the pre- and post-tests.</w:t>
      </w:r>
    </w:p>
    <w:p w14:paraId="38CCA89C"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The section would be easier to follow if it were subdivided into short subheadings, for example:</w:t>
      </w:r>
    </w:p>
    <w:p w14:paraId="08257550" w14:textId="6B4D5B32" w:rsidR="002B198B" w:rsidRDefault="002B198B" w:rsidP="002B198B">
      <w:pPr>
        <w:spacing w:after="0" w:line="360" w:lineRule="auto"/>
        <w:jc w:val="both"/>
        <w:rPr>
          <w:rFonts w:ascii="Arial" w:hAnsi="Arial" w:cs="Arial"/>
          <w:sz w:val="22"/>
          <w:szCs w:val="22"/>
        </w:rPr>
      </w:pPr>
      <w:r>
        <w:rPr>
          <w:rFonts w:ascii="Arial" w:hAnsi="Arial" w:cs="Arial"/>
          <w:sz w:val="22"/>
          <w:szCs w:val="22"/>
        </w:rPr>
        <w:t>2.1 Study</w:t>
      </w:r>
      <w:r w:rsidRPr="002B198B">
        <w:rPr>
          <w:rFonts w:ascii="Arial" w:hAnsi="Arial" w:cs="Arial"/>
          <w:sz w:val="22"/>
          <w:szCs w:val="22"/>
        </w:rPr>
        <w:t xml:space="preserve"> design and participants</w:t>
      </w:r>
    </w:p>
    <w:p w14:paraId="3846D948" w14:textId="77777777" w:rsid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2.2 Product preparation</w:t>
      </w:r>
    </w:p>
    <w:p w14:paraId="7E760DC2" w14:textId="77777777" w:rsid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2.3 Sensory evaluation</w:t>
      </w:r>
    </w:p>
    <w:p w14:paraId="2A70E5AC" w14:textId="77777777" w:rsid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2.4 Educational intervention</w:t>
      </w:r>
    </w:p>
    <w:p w14:paraId="1E6D3CAB" w14:textId="4827B380"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2.5 Statistical analysis</w:t>
      </w:r>
    </w:p>
    <w:p w14:paraId="5FBD3759"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Considering section 2.2 Product Preparation, it is appropriate to explain the definition of banana stem and relation with post-harvest period.</w:t>
      </w:r>
    </w:p>
    <w:p w14:paraId="79013941"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The statement that “a standard procedure has been implemented” is vague, a reference to a validated protocol or clearly described procedure is required. Provide quantitative details (for example: banana stem slices measuring approximately x mm were dipped for y minutes in a solution containing z% salt and w% lime; mention the frying temperature and duration, and the type of fat used for frying, etc). Indicate whether all samples were prepared in a single batch or in several batches and how batch effects were controlled.</w:t>
      </w:r>
    </w:p>
    <w:p w14:paraId="3EFE7058"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Add details about the sensory testing conditions, blinding/randomisation, service protocol, and how pre/post data were linked at the individual level.</w:t>
      </w:r>
    </w:p>
    <w:p w14:paraId="4228B1DE"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Specify whether preliminary tests or pilot tests were conducted, what “both tests” refer to ? (for example, reliability and perhaps content validity).</w:t>
      </w:r>
    </w:p>
    <w:p w14:paraId="2E3C5995"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The intervention is described conceptually, but not operationally; more details are needed to enable replication. Add a brief, concrete description, such as: Participants attended an xx-minute group session, including a y-minute poster/infographic presentation and a z-minute verbal explanation, delivered by ..., following a standardised script.</w:t>
      </w:r>
    </w:p>
    <w:p w14:paraId="5C456AFD"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Minor language corrections can improve readability, for example:</w:t>
      </w:r>
    </w:p>
    <w:p w14:paraId="6E265F26"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-Replace “they must be at least 16 years old” with “they were required to be at least 16 years old”</w:t>
      </w:r>
      <w:r w:rsidRPr="002B198B">
        <w:rPr>
          <w:rFonts w:ascii="Arial" w:hAnsi="Arial" w:cs="Arial"/>
          <w:sz w:val="22"/>
          <w:szCs w:val="22"/>
        </w:rPr>
        <w:br/>
        <w:t>-Clarify “Both tests indicated…”</w:t>
      </w:r>
    </w:p>
    <w:p w14:paraId="3D168D8F" w14:textId="553C2217" w:rsidR="002B198B" w:rsidRPr="002B198B" w:rsidRDefault="002B198B" w:rsidP="00FE7472">
      <w:pPr>
        <w:spacing w:after="0" w:line="360" w:lineRule="auto"/>
        <w:jc w:val="both"/>
        <w:rPr>
          <w:rFonts w:ascii="Arial" w:hAnsi="Arial" w:cs="Arial"/>
          <w:b/>
          <w:bCs/>
          <w:sz w:val="22"/>
          <w:szCs w:val="22"/>
        </w:rPr>
      </w:pPr>
      <w:r w:rsidRPr="002B198B">
        <w:rPr>
          <w:rFonts w:ascii="Arial" w:hAnsi="Arial" w:cs="Arial"/>
          <w:b/>
          <w:bCs/>
          <w:sz w:val="22"/>
          <w:szCs w:val="22"/>
        </w:rPr>
        <w:lastRenderedPageBreak/>
        <w:t>Response:</w:t>
      </w:r>
    </w:p>
    <w:p w14:paraId="38FB420E"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We have carefully revised this section to improve clarity, structure, and replicability.</w:t>
      </w:r>
    </w:p>
    <w:p w14:paraId="1A21E489" w14:textId="2883D955"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First, the Methods section has been reorganized into clearly defined subsections. The subsection “Study Design and Participants” now explicitly describes the quasi-experimental pre-test–post-test design, the recruitment of domestic tourists </w:t>
      </w:r>
      <w:r w:rsidR="007C0CE9">
        <w:rPr>
          <w:rFonts w:ascii="Arial" w:hAnsi="Arial" w:cs="Arial"/>
          <w:sz w:val="22"/>
          <w:szCs w:val="22"/>
        </w:rPr>
        <w:t>via</w:t>
      </w:r>
      <w:r w:rsidRPr="002B198B">
        <w:rPr>
          <w:rFonts w:ascii="Arial" w:hAnsi="Arial" w:cs="Arial"/>
          <w:sz w:val="22"/>
          <w:szCs w:val="22"/>
        </w:rPr>
        <w:t xml:space="preserve"> on-site convenience sampling, the inclusion and eligibility criteria, and the final number of participants (n = 221) who completed both evaluation phases.</w:t>
      </w:r>
    </w:p>
    <w:p w14:paraId="21492042" w14:textId="753C0730"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Second, Section 2.2 has been substantially expanded. The definition of banana stem (</w:t>
      </w:r>
      <w:r w:rsidR="007C0CE9">
        <w:rPr>
          <w:rFonts w:ascii="Arial" w:hAnsi="Arial" w:cs="Arial"/>
          <w:sz w:val="22"/>
          <w:szCs w:val="22"/>
        </w:rPr>
        <w:t xml:space="preserve">the </w:t>
      </w:r>
      <w:proofErr w:type="spellStart"/>
      <w:r w:rsidRPr="002B198B">
        <w:rPr>
          <w:rFonts w:ascii="Arial" w:hAnsi="Arial" w:cs="Arial"/>
          <w:sz w:val="22"/>
          <w:szCs w:val="22"/>
        </w:rPr>
        <w:t>pseudostem</w:t>
      </w:r>
      <w:proofErr w:type="spellEnd"/>
      <w:r w:rsidRPr="002B198B">
        <w:rPr>
          <w:rFonts w:ascii="Arial" w:hAnsi="Arial" w:cs="Arial"/>
          <w:sz w:val="22"/>
          <w:szCs w:val="22"/>
        </w:rPr>
        <w:t xml:space="preserve"> of </w:t>
      </w:r>
      <w:r w:rsidRPr="002B198B">
        <w:rPr>
          <w:rFonts w:ascii="Arial" w:hAnsi="Arial" w:cs="Arial"/>
          <w:i/>
          <w:iCs/>
          <w:sz w:val="22"/>
          <w:szCs w:val="22"/>
        </w:rPr>
        <w:t>Musa paradisiaca</w:t>
      </w:r>
      <w:r w:rsidRPr="002B198B">
        <w:rPr>
          <w:rFonts w:ascii="Arial" w:hAnsi="Arial" w:cs="Arial"/>
          <w:sz w:val="22"/>
          <w:szCs w:val="22"/>
        </w:rPr>
        <w:t>) and its relation</w:t>
      </w:r>
      <w:r w:rsidR="007C0CE9">
        <w:rPr>
          <w:rFonts w:ascii="Arial" w:hAnsi="Arial" w:cs="Arial"/>
          <w:sz w:val="22"/>
          <w:szCs w:val="22"/>
        </w:rPr>
        <w:t>ship</w:t>
      </w:r>
      <w:r w:rsidRPr="002B198B">
        <w:rPr>
          <w:rFonts w:ascii="Arial" w:hAnsi="Arial" w:cs="Arial"/>
          <w:sz w:val="22"/>
          <w:szCs w:val="22"/>
        </w:rPr>
        <w:t xml:space="preserve"> to the post-harvest period are now clearly explained. The preparation procedure is described in quantitative detail, including slice dimensions (5–10 mm thickness; 3–5 cm length), soaking treatment (salt and lime solution, 30 minutes), frying temperature (170–180°C), frying duration (3–5 minutes), and the type of oil used. It is also clarified that all samples were prepared in a single batch to minimize batch effects, and basic quality control procedures were conducted prior to testing.</w:t>
      </w:r>
    </w:p>
    <w:p w14:paraId="0D673834"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Third, additional information has been included regarding sensory testing conditions. The manuscript now specifies that evaluations were conducted outdoors in natural consumption settings, describes the service protocol (single portion per participant, sequential evaluation, water provided for palate cleansing), clarifies that the test was unblinded, and explains how pre-test and post-test responses were linked using unique participant identification codes to enable paired statistical analysis.</w:t>
      </w:r>
    </w:p>
    <w:p w14:paraId="4BE3ED85"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Fourth, the psychometric evaluation of the instrument is now clearly described. The phrase “both tests” has been clarified to refer to reliability testing (Cronbach’s alpha) and item–total correlation analysis for validity assessment.</w:t>
      </w:r>
    </w:p>
    <w:p w14:paraId="021BDDDD" w14:textId="77777777"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Fifth, the educational intervention has been revised from a conceptual description to an operational one. The manuscript now specifies that participants attended a 5–10-minute group session, consisting of a short poster/infographic presentation followed by a structured verbal explanation delivered by a trained member of the research team, based on standardized key messages to ensure consistency.</w:t>
      </w:r>
    </w:p>
    <w:p w14:paraId="021B12E6" w14:textId="045EB02A" w:rsidR="002B198B" w:rsidRP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 xml:space="preserve">Finally, minor language revisions have been implemented throughout the section to improve clarity and consistency, including rephrasing sentences such as “they must be at least 16 years old” to “they were required to be at least 16 years </w:t>
      </w:r>
      <w:r w:rsidR="007C0CE9">
        <w:rPr>
          <w:rFonts w:ascii="Arial" w:hAnsi="Arial" w:cs="Arial"/>
          <w:sz w:val="22"/>
          <w:szCs w:val="22"/>
        </w:rPr>
        <w:t>old"</w:t>
      </w:r>
      <w:r w:rsidRPr="002B198B">
        <w:rPr>
          <w:rFonts w:ascii="Arial" w:hAnsi="Arial" w:cs="Arial"/>
          <w:sz w:val="22"/>
          <w:szCs w:val="22"/>
        </w:rPr>
        <w:t xml:space="preserve"> and clarifying previously ambiguous expressions.</w:t>
      </w:r>
    </w:p>
    <w:p w14:paraId="63B0AA17" w14:textId="77777777" w:rsidR="002B198B" w:rsidRDefault="002B198B" w:rsidP="002B198B">
      <w:pPr>
        <w:spacing w:after="0" w:line="360" w:lineRule="auto"/>
        <w:jc w:val="both"/>
        <w:rPr>
          <w:rFonts w:ascii="Arial" w:hAnsi="Arial" w:cs="Arial"/>
          <w:sz w:val="22"/>
          <w:szCs w:val="22"/>
        </w:rPr>
      </w:pPr>
      <w:r w:rsidRPr="002B198B">
        <w:rPr>
          <w:rFonts w:ascii="Arial" w:hAnsi="Arial" w:cs="Arial"/>
          <w:sz w:val="22"/>
          <w:szCs w:val="22"/>
        </w:rPr>
        <w:t>We believe that these revisions substantially improve the methodological transparency, structure, and reproducibility of the study.</w:t>
      </w:r>
    </w:p>
    <w:p w14:paraId="417B9B22" w14:textId="77777777" w:rsidR="00A706DC" w:rsidRDefault="00A706DC" w:rsidP="002B198B">
      <w:pPr>
        <w:spacing w:after="0" w:line="360" w:lineRule="auto"/>
        <w:jc w:val="both"/>
        <w:rPr>
          <w:rFonts w:ascii="Arial" w:hAnsi="Arial" w:cs="Arial"/>
          <w:sz w:val="22"/>
          <w:szCs w:val="22"/>
        </w:rPr>
      </w:pPr>
    </w:p>
    <w:p w14:paraId="6B6E018E" w14:textId="6CF0F735" w:rsidR="00A706DC" w:rsidRDefault="00A706DC" w:rsidP="002B198B">
      <w:pPr>
        <w:spacing w:after="0" w:line="360" w:lineRule="auto"/>
        <w:jc w:val="both"/>
        <w:rPr>
          <w:rFonts w:ascii="Arial" w:hAnsi="Arial" w:cs="Arial"/>
          <w:b/>
          <w:bCs/>
          <w:sz w:val="22"/>
          <w:szCs w:val="22"/>
        </w:rPr>
      </w:pPr>
      <w:r w:rsidRPr="00A706DC">
        <w:rPr>
          <w:rFonts w:ascii="Arial" w:hAnsi="Arial" w:cs="Arial"/>
          <w:b/>
          <w:bCs/>
          <w:sz w:val="22"/>
          <w:szCs w:val="22"/>
        </w:rPr>
        <w:t>Comment 3:</w:t>
      </w:r>
    </w:p>
    <w:p w14:paraId="763DEE3C"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The Results and Discussion section presents relevant data and relates it to theory, but should be concise, critical, and structured. Authors are recommended to clearly distinguish factual findings (statistics, trends) from interpretation (what the findings mean, links to theory, how they compare with other studies, implications, limitations) in each subsection.</w:t>
      </w:r>
    </w:p>
    <w:p w14:paraId="40E9611E"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Subsection 3.1 begins with “Subheadings for this section”, should be replaced with a meaningful title, for example, “Sample characteristics”.</w:t>
      </w:r>
    </w:p>
    <w:p w14:paraId="543F9656"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Suggested reorganization:</w:t>
      </w:r>
    </w:p>
    <w:p w14:paraId="2677444D"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3.1 Sample characteristics (demographic background and summary of relevance)</w:t>
      </w:r>
      <w:r w:rsidRPr="00475D99">
        <w:rPr>
          <w:rFonts w:ascii="Arial" w:hAnsi="Arial" w:cs="Arial"/>
          <w:sz w:val="22"/>
          <w:szCs w:val="22"/>
        </w:rPr>
        <w:br/>
        <w:t>3.2 Instrument reliability</w:t>
      </w:r>
      <w:r w:rsidRPr="00475D99">
        <w:rPr>
          <w:rFonts w:ascii="Arial" w:hAnsi="Arial" w:cs="Arial"/>
          <w:sz w:val="22"/>
          <w:szCs w:val="22"/>
        </w:rPr>
        <w:br/>
        <w:t>3.3 Sensory acceptance pre/post-intervention</w:t>
      </w:r>
      <w:r w:rsidRPr="00475D99">
        <w:rPr>
          <w:rFonts w:ascii="Arial" w:hAnsi="Arial" w:cs="Arial"/>
          <w:sz w:val="22"/>
          <w:szCs w:val="22"/>
        </w:rPr>
        <w:br/>
        <w:t>3.4 Theoretical and practical implications (connection with TPB/Rogers, limitations)</w:t>
      </w:r>
    </w:p>
    <w:p w14:paraId="4883F665"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Subsection 3.1: Demographic data and sensory scores can be presented more concisely and less speculatively. For example:</w:t>
      </w:r>
    </w:p>
    <w:p w14:paraId="099051EB"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 The main age, gender, and education levels, as well as any variables used later to interpret the results.</w:t>
      </w:r>
      <w:r w:rsidRPr="00475D99">
        <w:rPr>
          <w:rFonts w:ascii="Arial" w:hAnsi="Arial" w:cs="Arial"/>
          <w:sz w:val="22"/>
          <w:szCs w:val="22"/>
        </w:rPr>
        <w:br/>
        <w:t>- Remove speculative statements (for example, “well-suited to the respondents’ processing capabilities”, “crucial niche”) or transfer them to a brief interpretive sentence at the end.</w:t>
      </w:r>
    </w:p>
    <w:p w14:paraId="00A353F4"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 xml:space="preserve">In the demographic subsection (3.1), consider adding a note in brackets about income levels in international currency since the IJFS covers international food studies. For example: Income levels of 1.5 to 3 million IDR/month (≈ xx to </w:t>
      </w:r>
      <w:proofErr w:type="spellStart"/>
      <w:r w:rsidRPr="00475D99">
        <w:rPr>
          <w:rFonts w:ascii="Arial" w:hAnsi="Arial" w:cs="Arial"/>
          <w:sz w:val="22"/>
          <w:szCs w:val="22"/>
        </w:rPr>
        <w:t>yy</w:t>
      </w:r>
      <w:proofErr w:type="spellEnd"/>
      <w:r w:rsidRPr="00475D99">
        <w:rPr>
          <w:rFonts w:ascii="Arial" w:hAnsi="Arial" w:cs="Arial"/>
          <w:sz w:val="22"/>
          <w:szCs w:val="22"/>
        </w:rPr>
        <w:t xml:space="preserve"> Dolar) and 4.5 to 6 million IDR/month (≈ </w:t>
      </w:r>
      <w:proofErr w:type="spellStart"/>
      <w:r w:rsidRPr="00475D99">
        <w:rPr>
          <w:rFonts w:ascii="Arial" w:hAnsi="Arial" w:cs="Arial"/>
          <w:sz w:val="22"/>
          <w:szCs w:val="22"/>
        </w:rPr>
        <w:t>zz</w:t>
      </w:r>
      <w:proofErr w:type="spellEnd"/>
      <w:r w:rsidRPr="00475D99">
        <w:rPr>
          <w:rFonts w:ascii="Arial" w:hAnsi="Arial" w:cs="Arial"/>
          <w:sz w:val="22"/>
          <w:szCs w:val="22"/>
        </w:rPr>
        <w:t xml:space="preserve"> to </w:t>
      </w:r>
      <w:proofErr w:type="spellStart"/>
      <w:r w:rsidRPr="00475D99">
        <w:rPr>
          <w:rFonts w:ascii="Arial" w:hAnsi="Arial" w:cs="Arial"/>
          <w:sz w:val="22"/>
          <w:szCs w:val="22"/>
        </w:rPr>
        <w:t>yy</w:t>
      </w:r>
      <w:proofErr w:type="spellEnd"/>
      <w:r w:rsidRPr="00475D99">
        <w:rPr>
          <w:rFonts w:ascii="Arial" w:hAnsi="Arial" w:cs="Arial"/>
          <w:sz w:val="22"/>
          <w:szCs w:val="22"/>
        </w:rPr>
        <w:t xml:space="preserve"> Dolar, at 2025 exchange rates) reflect moderate purchasing power among Indonesian urban tourists, consistent with price-sensitive snack markets.</w:t>
      </w:r>
    </w:p>
    <w:p w14:paraId="14D8783B"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 xml:space="preserve">In section 3.3: Some paragraphs appear to be a new Introduction (composition of the banana stem, suboptimal foods…). Keep only the elements that directly help explain the changes observed in the scores. For example, summarize the information in a single sentence before interpretation: “Since banana stem chips are made from an unconventional by-product and therefore fall into the category of ‘suboptimal foods,’ consumer expectations are likely to be low before the information is provided.” Then immediately connect to the data: “The observed increase in taste and overall liking after education suggests that information on sustainability and health benefits can partly counteract this initial </w:t>
      </w:r>
      <w:proofErr w:type="spellStart"/>
      <w:r w:rsidRPr="00475D99">
        <w:rPr>
          <w:rFonts w:ascii="Arial" w:hAnsi="Arial" w:cs="Arial"/>
          <w:sz w:val="22"/>
          <w:szCs w:val="22"/>
        </w:rPr>
        <w:t>skepticism</w:t>
      </w:r>
      <w:proofErr w:type="spellEnd"/>
      <w:r w:rsidRPr="00475D99">
        <w:rPr>
          <w:rFonts w:ascii="Arial" w:hAnsi="Arial" w:cs="Arial"/>
          <w:sz w:val="22"/>
          <w:szCs w:val="22"/>
        </w:rPr>
        <w:t>.”</w:t>
      </w:r>
    </w:p>
    <w:p w14:paraId="4F8938F0"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A practical pattern authors can follow in 3.3. Avoid repeating all exact values ​​in the text if they are already in a table/figure; instead, emphasize patterns, for example:</w:t>
      </w:r>
    </w:p>
    <w:p w14:paraId="5E5A3BCB"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lastRenderedPageBreak/>
        <w:t xml:space="preserve">“All six sensory attributes increased significantly after the intervention (paired t-tests, p &lt; 0.01). </w:t>
      </w:r>
      <w:proofErr w:type="spellStart"/>
      <w:r w:rsidRPr="00475D99">
        <w:rPr>
          <w:rFonts w:ascii="Arial" w:hAnsi="Arial" w:cs="Arial"/>
          <w:sz w:val="22"/>
          <w:szCs w:val="22"/>
        </w:rPr>
        <w:t>Flavor</w:t>
      </w:r>
      <w:proofErr w:type="spellEnd"/>
      <w:r w:rsidRPr="00475D99">
        <w:rPr>
          <w:rFonts w:ascii="Arial" w:hAnsi="Arial" w:cs="Arial"/>
          <w:sz w:val="22"/>
          <w:szCs w:val="22"/>
        </w:rPr>
        <w:t xml:space="preserve"> showed the greatest mean change (+0.68), followed by aroma and overall acceptance, while </w:t>
      </w:r>
      <w:proofErr w:type="spellStart"/>
      <w:r w:rsidRPr="00475D99">
        <w:rPr>
          <w:rFonts w:ascii="Arial" w:hAnsi="Arial" w:cs="Arial"/>
          <w:sz w:val="22"/>
          <w:szCs w:val="22"/>
        </w:rPr>
        <w:t>color</w:t>
      </w:r>
      <w:proofErr w:type="spellEnd"/>
      <w:r w:rsidRPr="00475D99">
        <w:rPr>
          <w:rFonts w:ascii="Arial" w:hAnsi="Arial" w:cs="Arial"/>
          <w:sz w:val="22"/>
          <w:szCs w:val="22"/>
        </w:rPr>
        <w:t xml:space="preserve"> showed the least change.” And then, one or more paragraphs of interpretation: Link to the Theory of Planned </w:t>
      </w:r>
      <w:proofErr w:type="spellStart"/>
      <w:r w:rsidRPr="00475D99">
        <w:rPr>
          <w:rFonts w:ascii="Arial" w:hAnsi="Arial" w:cs="Arial"/>
          <w:sz w:val="22"/>
          <w:szCs w:val="22"/>
        </w:rPr>
        <w:t>Behavior</w:t>
      </w:r>
      <w:proofErr w:type="spellEnd"/>
      <w:r w:rsidRPr="00475D99">
        <w:rPr>
          <w:rFonts w:ascii="Arial" w:hAnsi="Arial" w:cs="Arial"/>
          <w:sz w:val="22"/>
          <w:szCs w:val="22"/>
        </w:rPr>
        <w:t>…, suboptimal foods, previous work on sustainability-oriented communication, etc., avoiding new numbers here.</w:t>
      </w:r>
    </w:p>
    <w:p w14:paraId="46B4D2DB"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In the final section, explicitly discuss the main limitations (absence of a control group, short-term effect, moderate absolute liking) and practical implications (what a score of approximately 3.5/5 means for market potential).</w:t>
      </w:r>
    </w:p>
    <w:p w14:paraId="2809BBC9" w14:textId="77777777" w:rsidR="00A706DC" w:rsidRPr="00A706DC" w:rsidRDefault="00A706DC" w:rsidP="002B198B">
      <w:pPr>
        <w:spacing w:after="0" w:line="360" w:lineRule="auto"/>
        <w:jc w:val="both"/>
        <w:rPr>
          <w:rFonts w:ascii="Arial" w:hAnsi="Arial" w:cs="Arial"/>
          <w:sz w:val="22"/>
          <w:szCs w:val="22"/>
        </w:rPr>
      </w:pPr>
    </w:p>
    <w:p w14:paraId="446EE8E0" w14:textId="78CD43D7" w:rsidR="00A706DC" w:rsidRPr="00A706DC" w:rsidRDefault="00A706DC" w:rsidP="002B198B">
      <w:pPr>
        <w:spacing w:after="0" w:line="360" w:lineRule="auto"/>
        <w:jc w:val="both"/>
        <w:rPr>
          <w:rFonts w:ascii="Arial" w:hAnsi="Arial" w:cs="Arial"/>
          <w:b/>
          <w:bCs/>
          <w:sz w:val="22"/>
          <w:szCs w:val="22"/>
        </w:rPr>
      </w:pPr>
      <w:r w:rsidRPr="00A706DC">
        <w:rPr>
          <w:rFonts w:ascii="Arial" w:hAnsi="Arial" w:cs="Arial"/>
          <w:b/>
          <w:bCs/>
          <w:sz w:val="22"/>
          <w:szCs w:val="22"/>
        </w:rPr>
        <w:t>Response:</w:t>
      </w:r>
    </w:p>
    <w:p w14:paraId="75501647" w14:textId="1875E743" w:rsidR="00A706DC" w:rsidRPr="00A706DC" w:rsidRDefault="00A706DC" w:rsidP="00A706DC">
      <w:pPr>
        <w:spacing w:after="0" w:line="360" w:lineRule="auto"/>
        <w:jc w:val="both"/>
        <w:rPr>
          <w:rFonts w:ascii="Arial" w:hAnsi="Arial" w:cs="Arial"/>
          <w:sz w:val="22"/>
          <w:szCs w:val="22"/>
        </w:rPr>
      </w:pPr>
      <w:r w:rsidRPr="00A706DC">
        <w:rPr>
          <w:rFonts w:ascii="Arial" w:hAnsi="Arial" w:cs="Arial"/>
          <w:sz w:val="22"/>
          <w:szCs w:val="22"/>
        </w:rPr>
        <w:t>We have carefully revised this section to improve organization, conciseness, and the distinction between empirical findings and interpretation.</w:t>
      </w:r>
    </w:p>
    <w:p w14:paraId="5BEB5F81" w14:textId="77777777" w:rsidR="00A706DC" w:rsidRDefault="00A706DC" w:rsidP="00A706DC">
      <w:pPr>
        <w:spacing w:after="0" w:line="360" w:lineRule="auto"/>
        <w:jc w:val="both"/>
        <w:rPr>
          <w:rFonts w:ascii="Arial" w:hAnsi="Arial" w:cs="Arial"/>
          <w:sz w:val="22"/>
          <w:szCs w:val="22"/>
        </w:rPr>
      </w:pPr>
      <w:r>
        <w:rPr>
          <w:rFonts w:ascii="Arial" w:hAnsi="Arial" w:cs="Arial"/>
          <w:sz w:val="22"/>
          <w:szCs w:val="22"/>
        </w:rPr>
        <w:t>T</w:t>
      </w:r>
      <w:r w:rsidRPr="00A706DC">
        <w:rPr>
          <w:rFonts w:ascii="Arial" w:hAnsi="Arial" w:cs="Arial"/>
          <w:sz w:val="22"/>
          <w:szCs w:val="22"/>
        </w:rPr>
        <w:t>he section has been reorganized into clearly defined subsections as suggested</w:t>
      </w:r>
      <w:r>
        <w:rPr>
          <w:rFonts w:ascii="Arial" w:hAnsi="Arial" w:cs="Arial"/>
          <w:sz w:val="22"/>
          <w:szCs w:val="22"/>
        </w:rPr>
        <w:t xml:space="preserve">. </w:t>
      </w:r>
      <w:r w:rsidRPr="00A706DC">
        <w:rPr>
          <w:rFonts w:ascii="Arial" w:hAnsi="Arial" w:cs="Arial"/>
          <w:sz w:val="22"/>
          <w:szCs w:val="22"/>
        </w:rPr>
        <w:t>This structure separates descriptive results from interpretation and theoretical discussion.</w:t>
      </w:r>
      <w:r>
        <w:rPr>
          <w:rFonts w:ascii="Arial" w:hAnsi="Arial" w:cs="Arial"/>
          <w:sz w:val="22"/>
          <w:szCs w:val="22"/>
        </w:rPr>
        <w:t xml:space="preserve"> </w:t>
      </w:r>
      <w:r w:rsidRPr="00A706DC">
        <w:rPr>
          <w:rFonts w:ascii="Arial" w:hAnsi="Arial" w:cs="Arial"/>
          <w:sz w:val="22"/>
          <w:szCs w:val="22"/>
        </w:rPr>
        <w:t xml:space="preserve">In subsection 3.1, the demographic information has been streamlined to focus on key characteristics (age, gender, education, occupation, and income) relevant </w:t>
      </w:r>
      <w:r>
        <w:rPr>
          <w:rFonts w:ascii="Arial" w:hAnsi="Arial" w:cs="Arial"/>
          <w:sz w:val="22"/>
          <w:szCs w:val="22"/>
        </w:rPr>
        <w:t>to</w:t>
      </w:r>
      <w:r w:rsidRPr="00A706DC">
        <w:rPr>
          <w:rFonts w:ascii="Arial" w:hAnsi="Arial" w:cs="Arial"/>
          <w:sz w:val="22"/>
          <w:szCs w:val="22"/>
        </w:rPr>
        <w:t xml:space="preserve"> contextualizing consumer acceptance. Speculative or interpretive statements have been reduced or repositioned to ensure that factual reporting remains distinct from interpretation. In addition, income values are now accompanied by approximate international currency equivalents (USD, based on 2025 exchange rates) to enhance clarity for an international readership.</w:t>
      </w:r>
      <w:r>
        <w:rPr>
          <w:rFonts w:ascii="Arial" w:hAnsi="Arial" w:cs="Arial"/>
          <w:sz w:val="22"/>
          <w:szCs w:val="22"/>
        </w:rPr>
        <w:t xml:space="preserve"> </w:t>
      </w:r>
    </w:p>
    <w:p w14:paraId="12296F33" w14:textId="77777777" w:rsidR="00A706DC" w:rsidRDefault="00A706DC" w:rsidP="00A706DC">
      <w:pPr>
        <w:spacing w:after="0" w:line="360" w:lineRule="auto"/>
        <w:jc w:val="both"/>
        <w:rPr>
          <w:rFonts w:ascii="Arial" w:hAnsi="Arial" w:cs="Arial"/>
          <w:sz w:val="22"/>
          <w:szCs w:val="22"/>
        </w:rPr>
      </w:pPr>
      <w:r w:rsidRPr="00A706DC">
        <w:rPr>
          <w:rFonts w:ascii="Arial" w:hAnsi="Arial" w:cs="Arial"/>
          <w:sz w:val="22"/>
          <w:szCs w:val="22"/>
        </w:rPr>
        <w:t xml:space="preserve">In subsection 3.3, we have revised the narrative to avoid repeating detailed numerical values already presented in Table 1. The text now emphasizes overall patterns (e.g., all six attributes increased significantly at p &lt; 0.01; taste showed the largest mean change) before proceeding to interpretation. Background information on banana stems and suboptimal foods has been condensed and directly linked to explaining the observed changes, rather than functioning as a secondary introduction. The interpretation is explicitly connected to the Theory of Planned </w:t>
      </w:r>
      <w:proofErr w:type="spellStart"/>
      <w:r w:rsidRPr="00A706DC">
        <w:rPr>
          <w:rFonts w:ascii="Arial" w:hAnsi="Arial" w:cs="Arial"/>
          <w:sz w:val="22"/>
          <w:szCs w:val="22"/>
        </w:rPr>
        <w:t>Behavior</w:t>
      </w:r>
      <w:proofErr w:type="spellEnd"/>
      <w:r w:rsidRPr="00A706DC">
        <w:rPr>
          <w:rFonts w:ascii="Arial" w:hAnsi="Arial" w:cs="Arial"/>
          <w:sz w:val="22"/>
          <w:szCs w:val="22"/>
        </w:rPr>
        <w:t xml:space="preserve"> and </w:t>
      </w:r>
      <w:r>
        <w:rPr>
          <w:rFonts w:ascii="Arial" w:hAnsi="Arial" w:cs="Arial"/>
          <w:sz w:val="22"/>
          <w:szCs w:val="22"/>
        </w:rPr>
        <w:t xml:space="preserve">the </w:t>
      </w:r>
      <w:r w:rsidRPr="00A706DC">
        <w:rPr>
          <w:rFonts w:ascii="Arial" w:hAnsi="Arial" w:cs="Arial"/>
          <w:sz w:val="22"/>
          <w:szCs w:val="22"/>
        </w:rPr>
        <w:t>Diffusion of Innovation framework, focusing on how cognitive framing may influence sensory evaluation.</w:t>
      </w:r>
      <w:r>
        <w:rPr>
          <w:rFonts w:ascii="Arial" w:hAnsi="Arial" w:cs="Arial"/>
          <w:sz w:val="22"/>
          <w:szCs w:val="22"/>
        </w:rPr>
        <w:t xml:space="preserve"> </w:t>
      </w:r>
    </w:p>
    <w:p w14:paraId="07DFE278" w14:textId="6FBBC961" w:rsidR="00A706DC" w:rsidRPr="00A706DC" w:rsidRDefault="00A706DC" w:rsidP="00A706DC">
      <w:pPr>
        <w:spacing w:after="0" w:line="360" w:lineRule="auto"/>
        <w:jc w:val="both"/>
        <w:rPr>
          <w:rFonts w:ascii="Arial" w:hAnsi="Arial" w:cs="Arial"/>
          <w:sz w:val="22"/>
          <w:szCs w:val="22"/>
        </w:rPr>
      </w:pPr>
      <w:r w:rsidRPr="00A706DC">
        <w:rPr>
          <w:rFonts w:ascii="Arial" w:hAnsi="Arial" w:cs="Arial"/>
          <w:sz w:val="22"/>
          <w:szCs w:val="22"/>
        </w:rPr>
        <w:t>Finally, subsection 3.4 now explicitly discusses the study’s main limitations, including the absence of a control group, the short-term nature of the intervention, and the moderate absolute liking scores (approximately 3.5/5 post-intervention). Practical implications are clarified by interpreting what this level of acceptance may mean for market potential, particularly in early-stage commercialization contexts.</w:t>
      </w:r>
    </w:p>
    <w:p w14:paraId="32FFCFE4" w14:textId="5A9B1FE3" w:rsidR="00A706DC" w:rsidRDefault="00A706DC" w:rsidP="00A706DC">
      <w:pPr>
        <w:spacing w:after="0" w:line="360" w:lineRule="auto"/>
        <w:jc w:val="both"/>
        <w:rPr>
          <w:rFonts w:ascii="Arial" w:hAnsi="Arial" w:cs="Arial"/>
          <w:sz w:val="22"/>
          <w:szCs w:val="22"/>
        </w:rPr>
      </w:pPr>
      <w:r w:rsidRPr="00A706DC">
        <w:rPr>
          <w:rFonts w:ascii="Arial" w:hAnsi="Arial" w:cs="Arial"/>
          <w:sz w:val="22"/>
          <w:szCs w:val="22"/>
        </w:rPr>
        <w:lastRenderedPageBreak/>
        <w:t xml:space="preserve">We believe that these revisions have improved the clarity, conciseness, and analytical structure of the Results and Discussion </w:t>
      </w:r>
      <w:r>
        <w:rPr>
          <w:rFonts w:ascii="Arial" w:hAnsi="Arial" w:cs="Arial"/>
          <w:sz w:val="22"/>
          <w:szCs w:val="22"/>
        </w:rPr>
        <w:t>section while</w:t>
      </w:r>
      <w:r w:rsidRPr="00A706DC">
        <w:rPr>
          <w:rFonts w:ascii="Arial" w:hAnsi="Arial" w:cs="Arial"/>
          <w:sz w:val="22"/>
          <w:szCs w:val="22"/>
        </w:rPr>
        <w:t xml:space="preserve"> maintaining its theoretical depth and empirical rigor.</w:t>
      </w:r>
    </w:p>
    <w:p w14:paraId="47F8D5FE" w14:textId="77777777" w:rsidR="00475D99" w:rsidRDefault="00475D99" w:rsidP="00A706DC">
      <w:pPr>
        <w:spacing w:after="0" w:line="360" w:lineRule="auto"/>
        <w:jc w:val="both"/>
        <w:rPr>
          <w:rFonts w:ascii="Arial" w:hAnsi="Arial" w:cs="Arial"/>
          <w:sz w:val="22"/>
          <w:szCs w:val="22"/>
        </w:rPr>
      </w:pPr>
    </w:p>
    <w:p w14:paraId="2DCFAA80" w14:textId="48582FBE" w:rsidR="00475D99" w:rsidRPr="00A706DC" w:rsidRDefault="00475D99" w:rsidP="00A706DC">
      <w:pPr>
        <w:spacing w:after="0" w:line="360" w:lineRule="auto"/>
        <w:jc w:val="both"/>
        <w:rPr>
          <w:rFonts w:ascii="Arial" w:hAnsi="Arial" w:cs="Arial"/>
          <w:b/>
          <w:bCs/>
          <w:sz w:val="22"/>
          <w:szCs w:val="22"/>
        </w:rPr>
      </w:pPr>
      <w:r w:rsidRPr="00475D99">
        <w:rPr>
          <w:rFonts w:ascii="Arial" w:hAnsi="Arial" w:cs="Arial"/>
          <w:b/>
          <w:bCs/>
          <w:sz w:val="22"/>
          <w:szCs w:val="22"/>
        </w:rPr>
        <w:t>Comment 4:</w:t>
      </w:r>
    </w:p>
    <w:p w14:paraId="3E21BA18"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The phrasing "markedly improves" and "uniform enhancements" overstates the modest effect sizes (0.36–0.68 points on a 5-point scale) from a single-group design without controls.</w:t>
      </w:r>
    </w:p>
    <w:p w14:paraId="2EECF426"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The conclusions could briefly mention the limitations of the study to demonstrate critical reflection, especially in quasi-experimental designs. For example, adding a sentence: "However, the absence of a control group and the short-term evaluation limit causal inferences about sustained adoption."</w:t>
      </w:r>
    </w:p>
    <w:p w14:paraId="535F2FF1"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The implications are broad ("sustainability communication, food entrepreneurship"); authors could make them more practical and specific to Indonesia. The results suggest that low-cost educational tools (for example, posters highlighting nutritional, environmental, and economic benefits) may support the market entry of banana stalk chips among young urban tourists in Indonesia, informing food industry entrepreneurs, policymakers, and educators on strategies to overcome perception barriers regarding zero-waste products.</w:t>
      </w:r>
    </w:p>
    <w:p w14:paraId="05BF1E1A" w14:textId="77777777" w:rsid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Improve accuracy and fluency: "Underdeveloped nations" replaced with "developing countries" or "low- and middle-income countries" for a more neutral tone. Avoid repeating introductory concepts ("zero-waste food innovation paradigm"), it is important to focus on key insights.</w:t>
      </w:r>
    </w:p>
    <w:p w14:paraId="0BDFD109" w14:textId="6F1895D2" w:rsidR="00475D99" w:rsidRPr="00475D99" w:rsidRDefault="00475D99" w:rsidP="00475D99">
      <w:pPr>
        <w:spacing w:after="0" w:line="360" w:lineRule="auto"/>
        <w:jc w:val="both"/>
        <w:rPr>
          <w:rFonts w:ascii="Arial" w:hAnsi="Arial" w:cs="Arial"/>
          <w:b/>
          <w:bCs/>
          <w:sz w:val="22"/>
          <w:szCs w:val="22"/>
        </w:rPr>
      </w:pPr>
      <w:r w:rsidRPr="00475D99">
        <w:rPr>
          <w:rFonts w:ascii="Arial" w:hAnsi="Arial" w:cs="Arial"/>
          <w:b/>
          <w:bCs/>
          <w:sz w:val="22"/>
          <w:szCs w:val="22"/>
        </w:rPr>
        <w:t>Response:</w:t>
      </w:r>
    </w:p>
    <w:p w14:paraId="1588D54A"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First, we have carefully revised the wording in the Results and Conclusions sections to ensure that the interpretation accurately reflects the modest magnitude of the observed effects (0.36–0.68 points on a five-point scale). Expressions that could be perceived as overstating the findings have been replaced with more proportionate descriptions, emphasizing that the improvements were statistically significant but moderate in magnitude.</w:t>
      </w:r>
    </w:p>
    <w:p w14:paraId="3D6B2CB5"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 xml:space="preserve">Second, the Conclusions section now explicitly acknowledges key methodological limitations. In particular, we clarify that the absence of a control group and the short-term nature of the post-intervention evaluation limit causal inference regarding sustained adoption and long-term </w:t>
      </w:r>
      <w:proofErr w:type="spellStart"/>
      <w:r w:rsidRPr="00475D99">
        <w:rPr>
          <w:rFonts w:ascii="Arial" w:hAnsi="Arial" w:cs="Arial"/>
          <w:sz w:val="22"/>
          <w:szCs w:val="22"/>
        </w:rPr>
        <w:t>behavioral</w:t>
      </w:r>
      <w:proofErr w:type="spellEnd"/>
      <w:r w:rsidRPr="00475D99">
        <w:rPr>
          <w:rFonts w:ascii="Arial" w:hAnsi="Arial" w:cs="Arial"/>
          <w:sz w:val="22"/>
          <w:szCs w:val="22"/>
        </w:rPr>
        <w:t xml:space="preserve"> change. This addition strengthens the critical reflection appropriate for a quasi-experimental design.</w:t>
      </w:r>
    </w:p>
    <w:p w14:paraId="539EF7C4" w14:textId="70DBF662"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 xml:space="preserve">Third, the practical implications have been refined to be more context-specific and actionable. Rather than broad generalizations about sustainability communication, the manuscript now highlights the potential </w:t>
      </w:r>
      <w:r>
        <w:rPr>
          <w:rFonts w:ascii="Arial" w:hAnsi="Arial" w:cs="Arial"/>
          <w:kern w:val="0"/>
          <w:sz w:val="22"/>
          <w:szCs w:val="22"/>
          <w14:ligatures w14:val="none"/>
        </w:rPr>
        <w:t>of low-cost educational tools, such as posters and infographics, to emphasize the nutritional, environmental, and local economic benefits in supporting the early</w:t>
      </w:r>
      <w:r>
        <w:rPr>
          <w:rFonts w:ascii="Arial" w:hAnsi="Arial" w:cs="Arial"/>
          <w:kern w:val="0"/>
          <w:sz w:val="22"/>
          <w:szCs w:val="22"/>
          <w14:ligatures w14:val="none"/>
        </w:rPr>
        <w:t>-</w:t>
      </w:r>
      <w:r>
        <w:rPr>
          <w:rFonts w:ascii="Arial" w:hAnsi="Arial" w:cs="Arial"/>
          <w:kern w:val="0"/>
          <w:sz w:val="22"/>
          <w:szCs w:val="22"/>
          <w14:ligatures w14:val="none"/>
        </w:rPr>
        <w:lastRenderedPageBreak/>
        <w:t>stage</w:t>
      </w:r>
      <w:r w:rsidRPr="00475D99">
        <w:rPr>
          <w:rFonts w:ascii="Arial" w:hAnsi="Arial" w:cs="Arial"/>
          <w:sz w:val="22"/>
          <w:szCs w:val="22"/>
        </w:rPr>
        <w:t xml:space="preserve"> market entry of banana stem chips among young urban consumers in Indonesia. The implications are explicitly framed in relation to Indonesian food entrepreneurs, sustainability educators, and policymakers engaged in circular economy strategies within banana value chains.</w:t>
      </w:r>
    </w:p>
    <w:p w14:paraId="1493F625"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Finally, terminology has been revised for accuracy and neutrality where necessary, avoiding potentially value-laden expressions and eliminating repetitive introductory concepts in the concluding section to maintain focus on the key empirical insights.</w:t>
      </w:r>
    </w:p>
    <w:p w14:paraId="0B56980D" w14:textId="77777777" w:rsidR="00475D99" w:rsidRPr="00475D99" w:rsidRDefault="00475D99" w:rsidP="00475D99">
      <w:pPr>
        <w:spacing w:after="0" w:line="360" w:lineRule="auto"/>
        <w:jc w:val="both"/>
        <w:rPr>
          <w:rFonts w:ascii="Arial" w:hAnsi="Arial" w:cs="Arial"/>
          <w:sz w:val="22"/>
          <w:szCs w:val="22"/>
        </w:rPr>
      </w:pPr>
      <w:r w:rsidRPr="00475D99">
        <w:rPr>
          <w:rFonts w:ascii="Arial" w:hAnsi="Arial" w:cs="Arial"/>
          <w:sz w:val="22"/>
          <w:szCs w:val="22"/>
        </w:rPr>
        <w:t>We believe that these revisions improve the precision, balance, and contextual relevance of the manuscript’s concluding arguments.</w:t>
      </w:r>
    </w:p>
    <w:p w14:paraId="1B68D65C" w14:textId="77777777" w:rsidR="00475D99" w:rsidRPr="00475D99" w:rsidRDefault="00475D99" w:rsidP="00475D99">
      <w:pPr>
        <w:spacing w:after="0" w:line="360" w:lineRule="auto"/>
        <w:jc w:val="both"/>
        <w:rPr>
          <w:rFonts w:ascii="Arial" w:hAnsi="Arial" w:cs="Arial"/>
          <w:sz w:val="22"/>
          <w:szCs w:val="22"/>
        </w:rPr>
      </w:pPr>
    </w:p>
    <w:p w14:paraId="115CBC8A" w14:textId="77777777" w:rsidR="00A706DC" w:rsidRPr="002B198B" w:rsidRDefault="00A706DC" w:rsidP="002B198B">
      <w:pPr>
        <w:spacing w:after="0" w:line="360" w:lineRule="auto"/>
        <w:jc w:val="both"/>
        <w:rPr>
          <w:rFonts w:ascii="Arial" w:hAnsi="Arial" w:cs="Arial"/>
          <w:sz w:val="22"/>
          <w:szCs w:val="22"/>
        </w:rPr>
      </w:pPr>
    </w:p>
    <w:p w14:paraId="0E47736C" w14:textId="77777777" w:rsidR="002B198B" w:rsidRPr="002B198B" w:rsidRDefault="002B198B" w:rsidP="00FE7472">
      <w:pPr>
        <w:spacing w:after="0" w:line="360" w:lineRule="auto"/>
        <w:jc w:val="both"/>
        <w:rPr>
          <w:rFonts w:ascii="Arial" w:hAnsi="Arial" w:cs="Arial"/>
          <w:sz w:val="22"/>
          <w:szCs w:val="22"/>
        </w:rPr>
      </w:pPr>
    </w:p>
    <w:sectPr w:rsidR="002B198B" w:rsidRPr="002B19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72"/>
    <w:rsid w:val="002B198B"/>
    <w:rsid w:val="00475D99"/>
    <w:rsid w:val="007C0CE9"/>
    <w:rsid w:val="00A706DC"/>
    <w:rsid w:val="00CA42CA"/>
    <w:rsid w:val="00FE747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10FEF2C5"/>
  <w15:chartTrackingRefBased/>
  <w15:docId w15:val="{254C39CE-3E11-FB4A-A52C-9AB8B18B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7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4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4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4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4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4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4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4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4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4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4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4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4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4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4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4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472"/>
    <w:rPr>
      <w:rFonts w:eastAsiaTheme="majorEastAsia" w:cstheme="majorBidi"/>
      <w:color w:val="272727" w:themeColor="text1" w:themeTint="D8"/>
    </w:rPr>
  </w:style>
  <w:style w:type="paragraph" w:styleId="Title">
    <w:name w:val="Title"/>
    <w:basedOn w:val="Normal"/>
    <w:next w:val="Normal"/>
    <w:link w:val="TitleChar"/>
    <w:uiPriority w:val="10"/>
    <w:qFormat/>
    <w:rsid w:val="00FE74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4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4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4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472"/>
    <w:pPr>
      <w:spacing w:before="160"/>
      <w:jc w:val="center"/>
    </w:pPr>
    <w:rPr>
      <w:i/>
      <w:iCs/>
      <w:color w:val="404040" w:themeColor="text1" w:themeTint="BF"/>
    </w:rPr>
  </w:style>
  <w:style w:type="character" w:customStyle="1" w:styleId="QuoteChar">
    <w:name w:val="Quote Char"/>
    <w:basedOn w:val="DefaultParagraphFont"/>
    <w:link w:val="Quote"/>
    <w:uiPriority w:val="29"/>
    <w:rsid w:val="00FE7472"/>
    <w:rPr>
      <w:i/>
      <w:iCs/>
      <w:color w:val="404040" w:themeColor="text1" w:themeTint="BF"/>
    </w:rPr>
  </w:style>
  <w:style w:type="paragraph" w:styleId="ListParagraph">
    <w:name w:val="List Paragraph"/>
    <w:basedOn w:val="Normal"/>
    <w:uiPriority w:val="34"/>
    <w:qFormat/>
    <w:rsid w:val="00FE7472"/>
    <w:pPr>
      <w:ind w:left="720"/>
      <w:contextualSpacing/>
    </w:pPr>
  </w:style>
  <w:style w:type="character" w:styleId="IntenseEmphasis">
    <w:name w:val="Intense Emphasis"/>
    <w:basedOn w:val="DefaultParagraphFont"/>
    <w:uiPriority w:val="21"/>
    <w:qFormat/>
    <w:rsid w:val="00FE7472"/>
    <w:rPr>
      <w:i/>
      <w:iCs/>
      <w:color w:val="0F4761" w:themeColor="accent1" w:themeShade="BF"/>
    </w:rPr>
  </w:style>
  <w:style w:type="paragraph" w:styleId="IntenseQuote">
    <w:name w:val="Intense Quote"/>
    <w:basedOn w:val="Normal"/>
    <w:next w:val="Normal"/>
    <w:link w:val="IntenseQuoteChar"/>
    <w:uiPriority w:val="30"/>
    <w:qFormat/>
    <w:rsid w:val="00FE7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472"/>
    <w:rPr>
      <w:i/>
      <w:iCs/>
      <w:color w:val="0F4761" w:themeColor="accent1" w:themeShade="BF"/>
    </w:rPr>
  </w:style>
  <w:style w:type="character" w:styleId="IntenseReference">
    <w:name w:val="Intense Reference"/>
    <w:basedOn w:val="DefaultParagraphFont"/>
    <w:uiPriority w:val="32"/>
    <w:qFormat/>
    <w:rsid w:val="00FE74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2791</Words>
  <Characters>18198</Characters>
  <Application>Microsoft Office Word</Application>
  <DocSecurity>0</DocSecurity>
  <Lines>303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Refaul Khairiyakh</dc:creator>
  <cp:keywords/>
  <dc:description/>
  <cp:lastModifiedBy>Refaul Khairiyakh</cp:lastModifiedBy>
  <cp:revision>2</cp:revision>
  <dcterms:created xsi:type="dcterms:W3CDTF">2026-02-21T06:40:00Z</dcterms:created>
  <dcterms:modified xsi:type="dcterms:W3CDTF">2026-02-21T07:21:00Z</dcterms:modified>
</cp:coreProperties>
</file>