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87E" w:rsidRPr="003E620E" w:rsidRDefault="00BE687E" w:rsidP="00B72EEB">
      <w:pPr>
        <w:pStyle w:val="Heading1"/>
        <w:spacing w:before="0" w:line="240" w:lineRule="auto"/>
        <w:jc w:val="center"/>
        <w:rPr>
          <w:rFonts w:ascii="Calibri" w:hAnsi="Calibri" w:cs="Calibri"/>
          <w:sz w:val="22"/>
          <w:szCs w:val="22"/>
        </w:rPr>
      </w:pPr>
      <w:r w:rsidRPr="003E620E">
        <w:rPr>
          <w:rFonts w:ascii="Calibri" w:hAnsi="Calibri" w:cs="Calibri"/>
          <w:sz w:val="22"/>
          <w:szCs w:val="22"/>
        </w:rPr>
        <w:t>Author’s Response to Reviewer’s Comments</w:t>
      </w:r>
    </w:p>
    <w:p w:rsidR="00C447FD" w:rsidRDefault="00C447FD" w:rsidP="00B72EEB">
      <w:pPr>
        <w:pStyle w:val="m-944552144262275309gmail-p1"/>
        <w:shd w:val="clear" w:color="auto" w:fill="FFFFFF"/>
        <w:spacing w:before="0" w:beforeAutospacing="0" w:after="0" w:afterAutospacing="0"/>
        <w:rPr>
          <w:rStyle w:val="m-944552144262275309gmail-s1"/>
          <w:rFonts w:ascii="Calibri" w:hAnsi="Calibri" w:cs="Calibri"/>
          <w:color w:val="222222"/>
          <w:sz w:val="22"/>
          <w:szCs w:val="22"/>
        </w:rPr>
      </w:pPr>
    </w:p>
    <w:p w:rsidR="00BE687E" w:rsidRDefault="00A75E08" w:rsidP="00B72EEB">
      <w:pPr>
        <w:pStyle w:val="m-944552144262275309gmail-p1"/>
        <w:shd w:val="clear" w:color="auto" w:fill="FFFFFF"/>
        <w:spacing w:before="0" w:beforeAutospacing="0" w:after="0" w:afterAutospacing="0"/>
        <w:rPr>
          <w:rStyle w:val="m-944552144262275309gmail-s1"/>
          <w:rFonts w:ascii="Calibri" w:hAnsi="Calibri" w:cs="Calibri"/>
          <w:color w:val="222222"/>
          <w:sz w:val="22"/>
          <w:szCs w:val="22"/>
        </w:rPr>
      </w:pPr>
      <w:r w:rsidRPr="003E620E">
        <w:rPr>
          <w:rStyle w:val="m-944552144262275309gmail-s1"/>
          <w:rFonts w:ascii="Calibri" w:hAnsi="Calibri" w:cs="Calibri"/>
          <w:color w:val="222222"/>
          <w:sz w:val="22"/>
          <w:szCs w:val="22"/>
        </w:rPr>
        <w:t>Reviewer number 3</w:t>
      </w:r>
    </w:p>
    <w:p w:rsidR="00C447FD" w:rsidRPr="003E620E" w:rsidRDefault="00C447FD" w:rsidP="00B72EEB">
      <w:pPr>
        <w:pStyle w:val="m-944552144262275309gmail-p1"/>
        <w:shd w:val="clear" w:color="auto" w:fill="FFFFFF"/>
        <w:spacing w:before="0" w:beforeAutospacing="0" w:after="0" w:afterAutospacing="0"/>
        <w:rPr>
          <w:rStyle w:val="m-944552144262275309gmail-s1"/>
          <w:rFonts w:ascii="Calibri" w:hAnsi="Calibri" w:cs="Calibri"/>
          <w:color w:val="222222"/>
          <w:sz w:val="22"/>
          <w:szCs w:val="22"/>
        </w:rPr>
      </w:pPr>
    </w:p>
    <w:p w:rsidR="00BE687E" w:rsidRDefault="00BE687E" w:rsidP="00B72EEB">
      <w:pPr>
        <w:spacing w:after="0" w:line="240" w:lineRule="auto"/>
        <w:jc w:val="both"/>
        <w:rPr>
          <w:rFonts w:ascii="Calibri" w:hAnsi="Calibri" w:cs="Calibri"/>
          <w:b/>
          <w:iCs/>
        </w:rPr>
      </w:pPr>
      <w:r w:rsidRPr="003E620E">
        <w:rPr>
          <w:rStyle w:val="m-944552144262275309gmail-s1"/>
          <w:rFonts w:ascii="Calibri" w:hAnsi="Calibri" w:cs="Calibri"/>
          <w:b/>
          <w:color w:val="222222"/>
        </w:rPr>
        <w:t xml:space="preserve">Paper title:  </w:t>
      </w:r>
      <w:r w:rsidRPr="003E620E">
        <w:rPr>
          <w:rFonts w:ascii="Calibri" w:hAnsi="Calibri" w:cs="Calibri"/>
          <w:b/>
          <w:iCs/>
        </w:rPr>
        <w:t>Nutritional Characteristics, Microbial Loads, and Consumer Acceptability of Biscuits Substituted with Pumpkin, Red Bean, and Anchovy Flours</w:t>
      </w:r>
    </w:p>
    <w:p w:rsidR="00C447FD" w:rsidRPr="003E620E" w:rsidRDefault="00C447FD" w:rsidP="00B72EEB">
      <w:pPr>
        <w:spacing w:after="0" w:line="240" w:lineRule="auto"/>
        <w:jc w:val="both"/>
        <w:rPr>
          <w:rFonts w:ascii="Calibri" w:hAnsi="Calibri" w:cs="Calibri"/>
        </w:rPr>
      </w:pPr>
    </w:p>
    <w:tbl>
      <w:tblPr>
        <w:tblStyle w:val="TableGrid"/>
        <w:tblW w:w="9572" w:type="dxa"/>
        <w:jc w:val="center"/>
        <w:tblInd w:w="1056" w:type="dxa"/>
        <w:tblLook w:val="04A0" w:firstRow="1" w:lastRow="0" w:firstColumn="1" w:lastColumn="0" w:noHBand="0" w:noVBand="1"/>
      </w:tblPr>
      <w:tblGrid>
        <w:gridCol w:w="1791"/>
        <w:gridCol w:w="3342"/>
        <w:gridCol w:w="4439"/>
      </w:tblGrid>
      <w:tr w:rsidR="00BE687E" w:rsidRPr="003E620E" w:rsidTr="00A121F4">
        <w:trPr>
          <w:trHeight w:val="513"/>
          <w:jc w:val="center"/>
        </w:trPr>
        <w:tc>
          <w:tcPr>
            <w:tcW w:w="1791" w:type="dxa"/>
          </w:tcPr>
          <w:p w:rsidR="00BE687E" w:rsidRPr="003E620E" w:rsidRDefault="00BE687E" w:rsidP="00B72EEB">
            <w:pPr>
              <w:jc w:val="center"/>
              <w:rPr>
                <w:rFonts w:ascii="Calibri" w:hAnsi="Calibri" w:cs="Calibri"/>
                <w:b/>
              </w:rPr>
            </w:pPr>
            <w:r w:rsidRPr="003E620E">
              <w:rPr>
                <w:rFonts w:ascii="Calibri" w:hAnsi="Calibri" w:cs="Calibri"/>
                <w:b/>
              </w:rPr>
              <w:t>Title</w:t>
            </w:r>
          </w:p>
        </w:tc>
        <w:tc>
          <w:tcPr>
            <w:tcW w:w="3342" w:type="dxa"/>
          </w:tcPr>
          <w:p w:rsidR="00BE687E" w:rsidRPr="003E620E" w:rsidRDefault="00BE687E" w:rsidP="00B72EEB">
            <w:pPr>
              <w:jc w:val="center"/>
              <w:rPr>
                <w:rFonts w:ascii="Calibri" w:hAnsi="Calibri" w:cs="Calibri"/>
                <w:b/>
              </w:rPr>
            </w:pPr>
            <w:r w:rsidRPr="003E620E">
              <w:rPr>
                <w:rStyle w:val="m-4034511218720824602gmail-il"/>
                <w:rFonts w:ascii="Calibri" w:hAnsi="Calibri" w:cs="Calibri"/>
                <w:b/>
              </w:rPr>
              <w:t>Reviewer’s</w:t>
            </w:r>
            <w:r w:rsidRPr="003E620E">
              <w:rPr>
                <w:rFonts w:ascii="Calibri" w:hAnsi="Calibri" w:cs="Calibri"/>
                <w:b/>
              </w:rPr>
              <w:t> </w:t>
            </w:r>
            <w:r w:rsidRPr="003E620E">
              <w:rPr>
                <w:rStyle w:val="m-4034511218720824602gmail-il"/>
                <w:rFonts w:ascii="Calibri" w:hAnsi="Calibri" w:cs="Calibri"/>
                <w:b/>
              </w:rPr>
              <w:t>Comments</w:t>
            </w:r>
          </w:p>
        </w:tc>
        <w:tc>
          <w:tcPr>
            <w:tcW w:w="4439" w:type="dxa"/>
          </w:tcPr>
          <w:p w:rsidR="00BE687E" w:rsidRPr="003E620E" w:rsidRDefault="00BE687E" w:rsidP="00B72EEB">
            <w:pPr>
              <w:jc w:val="center"/>
              <w:rPr>
                <w:rStyle w:val="m-4034511218720824602gmail-il"/>
                <w:rFonts w:ascii="Calibri" w:hAnsi="Calibri" w:cs="Calibri"/>
                <w:b/>
              </w:rPr>
            </w:pPr>
            <w:r w:rsidRPr="003E620E">
              <w:rPr>
                <w:rFonts w:ascii="Calibri" w:hAnsi="Calibri" w:cs="Calibri"/>
                <w:b/>
              </w:rPr>
              <w:t>Author’s </w:t>
            </w:r>
            <w:r w:rsidRPr="003E620E">
              <w:rPr>
                <w:rStyle w:val="m-4034511218720824602gmail-il"/>
                <w:rFonts w:ascii="Calibri" w:hAnsi="Calibri" w:cs="Calibri"/>
                <w:b/>
              </w:rPr>
              <w:t>Response</w:t>
            </w:r>
          </w:p>
        </w:tc>
      </w:tr>
      <w:tr w:rsidR="00BE687E" w:rsidRPr="003E620E" w:rsidTr="00A121F4">
        <w:trPr>
          <w:trHeight w:val="513"/>
          <w:jc w:val="center"/>
        </w:trPr>
        <w:tc>
          <w:tcPr>
            <w:tcW w:w="1791" w:type="dxa"/>
          </w:tcPr>
          <w:p w:rsidR="00BE687E" w:rsidRPr="003E620E" w:rsidRDefault="00BE687E" w:rsidP="00B72EEB">
            <w:pPr>
              <w:rPr>
                <w:rFonts w:ascii="Calibri" w:hAnsi="Calibri" w:cs="Calibri"/>
              </w:rPr>
            </w:pPr>
          </w:p>
        </w:tc>
        <w:tc>
          <w:tcPr>
            <w:tcW w:w="3342" w:type="dxa"/>
          </w:tcPr>
          <w:p w:rsidR="00BE687E" w:rsidRPr="003E620E" w:rsidRDefault="0010440B" w:rsidP="00B72EEB">
            <w:pPr>
              <w:rPr>
                <w:rFonts w:ascii="Calibri" w:hAnsi="Calibri" w:cs="Calibri"/>
              </w:rPr>
            </w:pPr>
            <w:r w:rsidRPr="003E620E">
              <w:rPr>
                <w:rFonts w:ascii="Calibri" w:hAnsi="Calibri" w:cs="Calibri"/>
                <w:color w:val="0C0E18"/>
                <w:shd w:val="clear" w:color="auto" w:fill="FFFFFF"/>
              </w:rPr>
              <w:t>The authors should clarify certain aspects of the experimental design, such as whether the biscuit batches were independently replicated or whether the reported replicates refer only to analytical repetitions.</w:t>
            </w:r>
          </w:p>
        </w:tc>
        <w:tc>
          <w:tcPr>
            <w:tcW w:w="4439" w:type="dxa"/>
          </w:tcPr>
          <w:p w:rsidR="00BE687E" w:rsidRPr="003E620E" w:rsidRDefault="00FF7721" w:rsidP="00B72EEB">
            <w:pPr>
              <w:rPr>
                <w:rFonts w:ascii="Calibri" w:hAnsi="Calibri" w:cs="Calibri"/>
              </w:rPr>
            </w:pPr>
            <w:r w:rsidRPr="003E620E">
              <w:rPr>
                <w:rFonts w:ascii="Calibri" w:hAnsi="Calibri" w:cs="Calibri"/>
                <w:color w:val="0070C0"/>
              </w:rPr>
              <w:t>The biscuit batches were prepared in three replications for each formulation.</w:t>
            </w:r>
          </w:p>
        </w:tc>
      </w:tr>
      <w:tr w:rsidR="00BE687E" w:rsidRPr="003E620E" w:rsidTr="00A121F4">
        <w:trPr>
          <w:trHeight w:val="486"/>
          <w:jc w:val="center"/>
        </w:trPr>
        <w:tc>
          <w:tcPr>
            <w:tcW w:w="1791" w:type="dxa"/>
          </w:tcPr>
          <w:p w:rsidR="00BE687E" w:rsidRPr="003E620E" w:rsidRDefault="00BE687E" w:rsidP="00B72EEB">
            <w:pPr>
              <w:rPr>
                <w:rFonts w:ascii="Calibri" w:hAnsi="Calibri" w:cs="Calibri"/>
              </w:rPr>
            </w:pPr>
          </w:p>
        </w:tc>
        <w:tc>
          <w:tcPr>
            <w:tcW w:w="3342" w:type="dxa"/>
          </w:tcPr>
          <w:p w:rsidR="00BE687E" w:rsidRPr="003E620E" w:rsidRDefault="00FF7721" w:rsidP="00B72EEB">
            <w:pPr>
              <w:pStyle w:val="NormalWeb"/>
              <w:spacing w:before="0" w:beforeAutospacing="0" w:after="0" w:afterAutospacing="0"/>
              <w:rPr>
                <w:rFonts w:ascii="Calibri" w:hAnsi="Calibri" w:cs="Calibri"/>
                <w:color w:val="0C0E18"/>
                <w:sz w:val="22"/>
                <w:szCs w:val="22"/>
              </w:rPr>
            </w:pPr>
            <w:r w:rsidRPr="003E620E">
              <w:rPr>
                <w:rFonts w:ascii="Calibri" w:hAnsi="Calibri" w:cs="Calibri"/>
                <w:color w:val="0C0E18"/>
                <w:sz w:val="22"/>
                <w:szCs w:val="22"/>
              </w:rPr>
              <w:t>It is recommended to include the limits of detection, recovery rates, and calibration parameters for the AAS methods used to determine mineral and heavy metal content. This would improve the traceability and reproducibility of the analytical data.</w:t>
            </w:r>
          </w:p>
          <w:p w:rsidR="00FF7721" w:rsidRPr="003E620E" w:rsidRDefault="00FF7721" w:rsidP="00B72EEB">
            <w:pPr>
              <w:pStyle w:val="NormalWeb"/>
              <w:spacing w:before="0" w:beforeAutospacing="0" w:after="0" w:afterAutospacing="0"/>
              <w:rPr>
                <w:rFonts w:ascii="Calibri" w:hAnsi="Calibri" w:cs="Calibri"/>
                <w:color w:val="0C0E18"/>
                <w:sz w:val="22"/>
                <w:szCs w:val="22"/>
              </w:rPr>
            </w:pPr>
          </w:p>
        </w:tc>
        <w:tc>
          <w:tcPr>
            <w:tcW w:w="4439" w:type="dxa"/>
          </w:tcPr>
          <w:p w:rsidR="00BE687E" w:rsidRPr="003E620E" w:rsidRDefault="00CC2A87" w:rsidP="00B72EEB">
            <w:pPr>
              <w:rPr>
                <w:rFonts w:ascii="Calibri" w:hAnsi="Calibri" w:cs="Calibri"/>
              </w:rPr>
            </w:pPr>
            <w:proofErr w:type="gramStart"/>
            <w:r w:rsidRPr="003E620E">
              <w:rPr>
                <w:rFonts w:ascii="Calibri" w:hAnsi="Calibri" w:cs="Calibri"/>
                <w:color w:val="0070C0"/>
                <w:shd w:val="clear" w:color="auto" w:fill="FFFFFF"/>
              </w:rPr>
              <w:t>Accuracy :</w:t>
            </w:r>
            <w:proofErr w:type="gramEnd"/>
            <w:r w:rsidRPr="003E620E">
              <w:rPr>
                <w:rFonts w:ascii="Calibri" w:hAnsi="Calibri" w:cs="Calibri"/>
                <w:color w:val="0070C0"/>
                <w:shd w:val="clear" w:color="auto" w:fill="FFFFFF"/>
              </w:rPr>
              <w:t xml:space="preserve"> The test is conducted using a sample that has been spiked with a standard solution. The experimental spiking concentrations correspond to 80% (low concentration), 100% (medium), and 120% (high) of the sample's concentration. Spiking occurs at the beginning of the sample preparation, prior to microwave digestion. Accuracy is determined by calculating the percent recovery of the spiked </w:t>
            </w:r>
            <w:proofErr w:type="spellStart"/>
            <w:r w:rsidRPr="003E620E">
              <w:rPr>
                <w:rFonts w:ascii="Calibri" w:hAnsi="Calibri" w:cs="Calibri"/>
                <w:color w:val="0070C0"/>
                <w:shd w:val="clear" w:color="auto" w:fill="FFFFFF"/>
              </w:rPr>
              <w:t>analyte</w:t>
            </w:r>
            <w:proofErr w:type="spellEnd"/>
            <w:r w:rsidRPr="003E620E">
              <w:rPr>
                <w:rFonts w:ascii="Calibri" w:hAnsi="Calibri" w:cs="Calibri"/>
                <w:color w:val="0070C0"/>
                <w:shd w:val="clear" w:color="auto" w:fill="FFFFFF"/>
              </w:rPr>
              <w:t xml:space="preserve">. </w:t>
            </w:r>
            <w:proofErr w:type="gramStart"/>
            <w:r w:rsidRPr="003E620E">
              <w:rPr>
                <w:rFonts w:ascii="Calibri" w:hAnsi="Calibri" w:cs="Calibri"/>
                <w:color w:val="0070C0"/>
                <w:shd w:val="clear" w:color="auto" w:fill="FFFFFF"/>
              </w:rPr>
              <w:t>Linearity :</w:t>
            </w:r>
            <w:proofErr w:type="gramEnd"/>
            <w:r w:rsidRPr="003E620E">
              <w:rPr>
                <w:rFonts w:ascii="Calibri" w:hAnsi="Calibri" w:cs="Calibri"/>
                <w:color w:val="0070C0"/>
                <w:shd w:val="clear" w:color="auto" w:fill="FFFFFF"/>
              </w:rPr>
              <w:t xml:space="preserve"> Instrument linearity is evaluated by measuring the absorbance of standard mineral solutions (Fe, Zn, and Cu) at various concentrations. The linearity tests for Fe and Cu were conducted using concentrations from 0 to 0.5 mg/L, while the Zn mineral concentration ranged from 0 to 1.0 mg/L. Each standard solution's absorbance was measured, and the measurements were repeated three times for accuracy. Limit of Detection (LOD) and Limit of Quantitation (LOQ</w:t>
            </w:r>
            <w:proofErr w:type="gramStart"/>
            <w:r w:rsidRPr="003E620E">
              <w:rPr>
                <w:rFonts w:ascii="Calibri" w:hAnsi="Calibri" w:cs="Calibri"/>
                <w:color w:val="0070C0"/>
                <w:shd w:val="clear" w:color="auto" w:fill="FFFFFF"/>
              </w:rPr>
              <w:t>) :</w:t>
            </w:r>
            <w:proofErr w:type="gramEnd"/>
            <w:r w:rsidRPr="003E620E">
              <w:rPr>
                <w:rFonts w:ascii="Calibri" w:hAnsi="Calibri" w:cs="Calibri"/>
                <w:color w:val="0070C0"/>
                <w:shd w:val="clear" w:color="auto" w:fill="FFFFFF"/>
              </w:rPr>
              <w:t xml:space="preserve"> The values for the Limit of Detection Instrument (LDI) and Limit of Quantitation (LOQ) are derived from the linearity analysis data, specifically by determining the standard error of calibration (</w:t>
            </w:r>
            <w:proofErr w:type="spellStart"/>
            <w:r w:rsidRPr="003E620E">
              <w:rPr>
                <w:rFonts w:ascii="Calibri" w:hAnsi="Calibri" w:cs="Calibri"/>
                <w:color w:val="0070C0"/>
                <w:shd w:val="clear" w:color="auto" w:fill="FFFFFF"/>
              </w:rPr>
              <w:t>sy</w:t>
            </w:r>
            <w:proofErr w:type="spellEnd"/>
            <w:r w:rsidRPr="003E620E">
              <w:rPr>
                <w:rFonts w:ascii="Calibri" w:hAnsi="Calibri" w:cs="Calibri"/>
                <w:color w:val="0070C0"/>
                <w:shd w:val="clear" w:color="auto" w:fill="FFFFFF"/>
              </w:rPr>
              <w:t>/x). The theoretical LDI is calculated using the formula [3(</w:t>
            </w:r>
            <w:proofErr w:type="spellStart"/>
            <w:r w:rsidRPr="003E620E">
              <w:rPr>
                <w:rFonts w:ascii="Calibri" w:hAnsi="Calibri" w:cs="Calibri"/>
                <w:color w:val="0070C0"/>
                <w:shd w:val="clear" w:color="auto" w:fill="FFFFFF"/>
              </w:rPr>
              <w:t>sy</w:t>
            </w:r>
            <w:proofErr w:type="spellEnd"/>
            <w:r w:rsidRPr="003E620E">
              <w:rPr>
                <w:rFonts w:ascii="Calibri" w:hAnsi="Calibri" w:cs="Calibri"/>
                <w:color w:val="0070C0"/>
                <w:shd w:val="clear" w:color="auto" w:fill="FFFFFF"/>
              </w:rPr>
              <w:t>/x)]/b. Confirmation is conducted by performing seven repeated measurements of solutions at the theoretical LDI concentration for each of the three minerals (Fe, Zn, and Cu). The theoretical LOQ is determined using the formula [10(</w:t>
            </w:r>
            <w:proofErr w:type="spellStart"/>
            <w:r w:rsidRPr="003E620E">
              <w:rPr>
                <w:rFonts w:ascii="Calibri" w:hAnsi="Calibri" w:cs="Calibri"/>
                <w:color w:val="0070C0"/>
                <w:shd w:val="clear" w:color="auto" w:fill="FFFFFF"/>
              </w:rPr>
              <w:t>sy</w:t>
            </w:r>
            <w:proofErr w:type="spellEnd"/>
            <w:r w:rsidRPr="003E620E">
              <w:rPr>
                <w:rFonts w:ascii="Calibri" w:hAnsi="Calibri" w:cs="Calibri"/>
                <w:color w:val="0070C0"/>
                <w:shd w:val="clear" w:color="auto" w:fill="FFFFFF"/>
              </w:rPr>
              <w:t xml:space="preserve">/x)]/b. </w:t>
            </w:r>
            <w:r w:rsidRPr="003E620E">
              <w:rPr>
                <w:rFonts w:ascii="Calibri" w:hAnsi="Calibri" w:cs="Calibri"/>
                <w:color w:val="0070C0"/>
                <w:shd w:val="clear" w:color="auto" w:fill="FFFFFF"/>
              </w:rPr>
              <w:lastRenderedPageBreak/>
              <w:t>Confirmation of the LOQ values is carried out by creating a solution with a concentration equal to the theoretical LOQ value and measuring it with seven replicates for each mineral. The Limit of Detection Method (LDM) is established by measuring seven replications of the mineral concentration in the sample prepared at the theoretical LDI values</w:t>
            </w:r>
          </w:p>
        </w:tc>
      </w:tr>
      <w:tr w:rsidR="00C441F8" w:rsidRPr="003E620E" w:rsidTr="00A121F4">
        <w:trPr>
          <w:trHeight w:val="486"/>
          <w:jc w:val="center"/>
        </w:trPr>
        <w:tc>
          <w:tcPr>
            <w:tcW w:w="1791" w:type="dxa"/>
          </w:tcPr>
          <w:p w:rsidR="00C441F8" w:rsidRPr="003E620E" w:rsidRDefault="00C441F8" w:rsidP="00B72EEB">
            <w:pPr>
              <w:rPr>
                <w:rFonts w:ascii="Calibri" w:hAnsi="Calibri" w:cs="Calibri"/>
              </w:rPr>
            </w:pPr>
          </w:p>
        </w:tc>
        <w:tc>
          <w:tcPr>
            <w:tcW w:w="3342" w:type="dxa"/>
          </w:tcPr>
          <w:p w:rsidR="00FF7721" w:rsidRPr="003E620E" w:rsidRDefault="00FF7721" w:rsidP="00B72EEB">
            <w:pPr>
              <w:pStyle w:val="NormalWeb"/>
              <w:spacing w:before="0" w:beforeAutospacing="0" w:after="0" w:afterAutospacing="0"/>
              <w:rPr>
                <w:rFonts w:ascii="Calibri" w:hAnsi="Calibri" w:cs="Calibri"/>
                <w:color w:val="0C0E18"/>
                <w:sz w:val="22"/>
                <w:szCs w:val="22"/>
              </w:rPr>
            </w:pPr>
            <w:r w:rsidRPr="003E620E">
              <w:rPr>
                <w:rFonts w:ascii="Calibri" w:hAnsi="Calibri" w:cs="Calibri"/>
                <w:color w:val="0C0E18"/>
                <w:sz w:val="22"/>
                <w:szCs w:val="22"/>
              </w:rPr>
              <w:t>In the tables reporting heavy metal concentrations, it is unclear whether blanks, certified reference materials, and the number of analytical replicates were included. Clarifying these details would enhance the methodological transparency.</w:t>
            </w:r>
          </w:p>
          <w:p w:rsidR="00C441F8" w:rsidRPr="003E620E" w:rsidRDefault="00C441F8" w:rsidP="00B72EEB">
            <w:pPr>
              <w:rPr>
                <w:rFonts w:ascii="Calibri" w:hAnsi="Calibri" w:cs="Calibri"/>
              </w:rPr>
            </w:pPr>
          </w:p>
        </w:tc>
        <w:tc>
          <w:tcPr>
            <w:tcW w:w="4439" w:type="dxa"/>
          </w:tcPr>
          <w:p w:rsidR="00C441F8" w:rsidRPr="003E620E" w:rsidRDefault="00C441F8" w:rsidP="00B72EEB">
            <w:pPr>
              <w:rPr>
                <w:rFonts w:ascii="Calibri" w:hAnsi="Calibri" w:cs="Calibri"/>
              </w:rPr>
            </w:pPr>
          </w:p>
        </w:tc>
      </w:tr>
      <w:tr w:rsidR="00C441F8" w:rsidRPr="003E620E" w:rsidTr="00A121F4">
        <w:trPr>
          <w:trHeight w:val="486"/>
          <w:jc w:val="center"/>
        </w:trPr>
        <w:tc>
          <w:tcPr>
            <w:tcW w:w="1791" w:type="dxa"/>
          </w:tcPr>
          <w:p w:rsidR="00C441F8" w:rsidRPr="003E620E" w:rsidRDefault="00C441F8" w:rsidP="00B72EEB">
            <w:pPr>
              <w:rPr>
                <w:rFonts w:ascii="Calibri" w:hAnsi="Calibri" w:cs="Calibri"/>
              </w:rPr>
            </w:pPr>
          </w:p>
        </w:tc>
        <w:tc>
          <w:tcPr>
            <w:tcW w:w="3342" w:type="dxa"/>
          </w:tcPr>
          <w:p w:rsidR="00C441F8" w:rsidRPr="003E620E" w:rsidRDefault="00CC2A87" w:rsidP="00B72EEB">
            <w:pPr>
              <w:pStyle w:val="NormalWeb"/>
              <w:spacing w:before="0" w:beforeAutospacing="0" w:after="0" w:afterAutospacing="0"/>
              <w:rPr>
                <w:rFonts w:ascii="Calibri" w:hAnsi="Calibri" w:cs="Calibri"/>
                <w:sz w:val="22"/>
                <w:szCs w:val="22"/>
              </w:rPr>
            </w:pPr>
            <w:r w:rsidRPr="003E620E">
              <w:rPr>
                <w:rFonts w:ascii="Calibri" w:hAnsi="Calibri" w:cs="Calibri"/>
                <w:color w:val="0C0E18"/>
                <w:sz w:val="22"/>
                <w:szCs w:val="22"/>
              </w:rPr>
              <w:t>It is advisable to revise the literature review by removing redundant citations regarding ingredient composition and by reducing the use of low-impact or repetitive sources. Consider incorporating references that address functional foods, digest</w:t>
            </w:r>
            <w:r w:rsidR="00DD1972" w:rsidRPr="003E620E">
              <w:rPr>
                <w:rFonts w:ascii="Calibri" w:hAnsi="Calibri" w:cs="Calibri"/>
                <w:color w:val="0C0E18"/>
                <w:sz w:val="22"/>
                <w:szCs w:val="22"/>
              </w:rPr>
              <w:t>ibility, and clinical outcomes</w:t>
            </w:r>
          </w:p>
        </w:tc>
        <w:tc>
          <w:tcPr>
            <w:tcW w:w="4439" w:type="dxa"/>
          </w:tcPr>
          <w:p w:rsidR="00C441F8" w:rsidRPr="003E620E" w:rsidRDefault="00CC2A87" w:rsidP="00B72EEB">
            <w:pPr>
              <w:rPr>
                <w:rFonts w:ascii="Calibri" w:hAnsi="Calibri" w:cs="Calibri"/>
                <w:color w:val="002060"/>
                <w:shd w:val="clear" w:color="auto" w:fill="FFFFFF"/>
              </w:rPr>
            </w:pPr>
            <w:r w:rsidRPr="00EE6020">
              <w:rPr>
                <w:rFonts w:ascii="Calibri" w:hAnsi="Calibri" w:cs="Calibri"/>
                <w:color w:val="0070C0"/>
                <w:shd w:val="clear" w:color="auto" w:fill="FFFFFF"/>
              </w:rPr>
              <w:t>Animal-based proteins sourced from fish are typically highly digestible, meaning that a significant proportion of their amino acids are effectively absorbed by the body. In contrast, plant-based proteins often contain anti-nutritional factors and have complex structures that can hinder their digestibility. Additionally, the methods of cooking, processing, and preparation can impact how well proteins are digested. The structure of proteins plays a crucial role in how they are broken down and digested in the gastrointestinal tract</w:t>
            </w:r>
            <w:r w:rsidRPr="00EE6020">
              <w:rPr>
                <w:rFonts w:ascii="Calibri" w:hAnsi="Calibri" w:cs="Calibri"/>
                <w:color w:val="0070C0"/>
                <w:shd w:val="clear" w:color="auto" w:fill="FFFFFF"/>
              </w:rPr>
              <w:t>.</w:t>
            </w:r>
          </w:p>
          <w:p w:rsidR="00CC2A87" w:rsidRPr="003E620E" w:rsidRDefault="00CC2A87" w:rsidP="00B72EEB">
            <w:pPr>
              <w:rPr>
                <w:rFonts w:ascii="Calibri" w:hAnsi="Calibri" w:cs="Calibri"/>
              </w:rPr>
            </w:pPr>
            <w:r w:rsidRPr="003E620E">
              <w:rPr>
                <w:rFonts w:ascii="Calibri" w:hAnsi="Calibri" w:cs="Calibri"/>
                <w:color w:val="0070C0"/>
              </w:rPr>
              <w:t>Minerals, such as calcium, are found in food as both inorganic and organic compounds, often dissolved in water. This leads to variations in the release and absorption of calcium. Bioavailability, or biological availability, refers to the extent to which a nutrient is converted by the human body into a form that can be absorbed and utilized in metabolic processes or stored for future use</w:t>
            </w:r>
          </w:p>
        </w:tc>
      </w:tr>
      <w:tr w:rsidR="00C441F8" w:rsidRPr="003E620E" w:rsidTr="00A121F4">
        <w:trPr>
          <w:trHeight w:val="486"/>
          <w:jc w:val="center"/>
        </w:trPr>
        <w:tc>
          <w:tcPr>
            <w:tcW w:w="1791" w:type="dxa"/>
          </w:tcPr>
          <w:p w:rsidR="00C441F8" w:rsidRPr="003E620E" w:rsidRDefault="00C441F8" w:rsidP="00B72EEB">
            <w:pPr>
              <w:rPr>
                <w:rFonts w:ascii="Calibri" w:hAnsi="Calibri" w:cs="Calibri"/>
              </w:rPr>
            </w:pPr>
          </w:p>
        </w:tc>
        <w:tc>
          <w:tcPr>
            <w:tcW w:w="3342" w:type="dxa"/>
          </w:tcPr>
          <w:p w:rsidR="00DD1972" w:rsidRPr="003E620E" w:rsidRDefault="00DD1972" w:rsidP="00B72EEB">
            <w:pPr>
              <w:pStyle w:val="NormalWeb"/>
              <w:spacing w:before="0" w:beforeAutospacing="0" w:after="0" w:afterAutospacing="0"/>
              <w:rPr>
                <w:rFonts w:ascii="Calibri" w:hAnsi="Calibri" w:cs="Calibri"/>
                <w:color w:val="0C0E18"/>
                <w:sz w:val="22"/>
                <w:szCs w:val="22"/>
              </w:rPr>
            </w:pPr>
            <w:proofErr w:type="gramStart"/>
            <w:r w:rsidRPr="003E620E">
              <w:rPr>
                <w:rFonts w:ascii="Calibri" w:hAnsi="Calibri" w:cs="Calibri"/>
                <w:color w:val="0C0E18"/>
                <w:sz w:val="22"/>
                <w:szCs w:val="22"/>
              </w:rPr>
              <w:t>as</w:t>
            </w:r>
            <w:proofErr w:type="gramEnd"/>
            <w:r w:rsidRPr="003E620E">
              <w:rPr>
                <w:rFonts w:ascii="Calibri" w:hAnsi="Calibri" w:cs="Calibri"/>
                <w:color w:val="0C0E18"/>
                <w:sz w:val="22"/>
                <w:szCs w:val="22"/>
              </w:rPr>
              <w:t xml:space="preserve"> well as studies on structural interactions in baked food matrices that could help interpret the sensory findings more robustly.</w:t>
            </w:r>
          </w:p>
          <w:p w:rsidR="00C441F8" w:rsidRPr="003E620E" w:rsidRDefault="00C441F8" w:rsidP="00B72EEB">
            <w:pPr>
              <w:rPr>
                <w:rFonts w:ascii="Calibri" w:hAnsi="Calibri" w:cs="Calibri"/>
              </w:rPr>
            </w:pPr>
          </w:p>
        </w:tc>
        <w:tc>
          <w:tcPr>
            <w:tcW w:w="4439" w:type="dxa"/>
          </w:tcPr>
          <w:p w:rsidR="00C441F8" w:rsidRPr="003E620E" w:rsidRDefault="00DD1972" w:rsidP="00B72EEB">
            <w:pPr>
              <w:rPr>
                <w:rFonts w:ascii="Calibri" w:hAnsi="Calibri" w:cs="Calibri"/>
              </w:rPr>
            </w:pPr>
            <w:r w:rsidRPr="003E620E">
              <w:rPr>
                <w:rFonts w:ascii="Calibri" w:hAnsi="Calibri" w:cs="Calibri"/>
                <w:color w:val="0070C0"/>
              </w:rPr>
              <w:t xml:space="preserve">In baked foods, structural interactions have a significant impact on sensory properties, including texture, flavor, and the overall eating experience. These interactions, occurring between different ingredients and within the food matrix, influence how the food feels in the mouth, releases flavors, and retains its structure </w:t>
            </w:r>
            <w:r w:rsidRPr="003E620E">
              <w:rPr>
                <w:rFonts w:ascii="Calibri" w:hAnsi="Calibri" w:cs="Calibri"/>
                <w:color w:val="0070C0"/>
              </w:rPr>
              <w:fldChar w:fldCharType="begin" w:fldLock="1"/>
            </w:r>
            <w:r w:rsidRPr="003E620E">
              <w:rPr>
                <w:rFonts w:ascii="Calibri" w:hAnsi="Calibri" w:cs="Calibri"/>
                <w:color w:val="0070C0"/>
              </w:rPr>
              <w:instrText>ADDIN CSL_CITATION {"citationItems":[{"id":"ITEM-1","itemData":{"DOI":"10.1039/BK9781839162428-00290","ISBN":"978-1-78801-858-6","abstract":"Food structure is the spatial organization of different food components arising from the assembly and interactions of macronutrients, such as proteins, lipids, and carbohydrates. Micronutrients and bioactive compounds, such as polyphenols, antioxidants, enzymes, and hormones, are commonly present within the food structure/matrix. The food structure and matrix effects play a crucial role in the perception of sensory properties, stability, shelf life, and digestion and absorption behavior of foods and nutrients. During the 20th century, major advances in food technology were dominated by chemical and mechanical engineering concepts, primarily affecting food processing at a macroscopic level. However, in the 21st century, the main advances and interventions in food were at the micro- and nanostructural levels, enhancing the quality of existing food products and designing novel foods to satisfy expanding consumer needs in terms of nutritional, textural, and sensorial aspects. Advanced analytical tools and experimental techniques, such as microscopy, scattering methods, spectroscopy, sensitive rheometers, particle sizing equipment, zeta sizers, and differential scanning calorimetry, have assisted in in-depth food structure research and investigation. Image analysis techniques and numerical simulations and modeling have also been used to quantify and predict microstructural information. The multidisciplinary aspects of food structure, classification of food structure and the food matrix, food matrix effects, the impact of food structure and the matrix on food texture and other sensory aspects, and analytical techniques used in the characterization of food structure are summarized in this chapter. ","container-title":"Food Digestion and Absorption: Its Role in Food Product Development","editor":[{"dropping-particle":"","family":"Anandharamakrishnan","given":"C","non-dropping-particle":"","parse-names":false,"suffix":""},{"dropping-particle":"","family":"Moses","given":"Jeyan Arthur","non-dropping-particle":"","parse-names":false,"suffix":""},{"dropping-particle":"","family":"Priyanka","given":"S","non-dropping-particle":"","parse-names":false,"suffix":""}],"id":"ITEM-1","issued":{"date-parts":[["2023","11","29"]]},"page":"0","publisher":"Royal Society of Chemistry","title":"Food Structure and the Complexity of Food Matrices","type":"chapter","volume":"42"},"uris":["http://www.mendeley.com/documents/?uuid=ea10c0c6-28c4-4911-9bf7-011baa18f251"]}],"mendeley":{"formattedCitation":"(Anandharamakrishnan et al., 2023)","plainTextFormattedCitation":"(Anandharamakrishnan et al., 2023)","previouslyFormattedCitation":"(Anandharamakrishnan et al., 2023)"},"properties":{"noteIndex":0},"schema":"https://github.com/citation-style-language/schema/raw/master/csl-citation.json"}</w:instrText>
            </w:r>
            <w:r w:rsidRPr="003E620E">
              <w:rPr>
                <w:rFonts w:ascii="Calibri" w:hAnsi="Calibri" w:cs="Calibri"/>
                <w:color w:val="0070C0"/>
              </w:rPr>
              <w:fldChar w:fldCharType="separate"/>
            </w:r>
            <w:r w:rsidRPr="003E620E">
              <w:rPr>
                <w:rFonts w:ascii="Calibri" w:hAnsi="Calibri" w:cs="Calibri"/>
                <w:noProof/>
                <w:color w:val="0070C0"/>
              </w:rPr>
              <w:t>(Anandharamakrishnan et al., 2023)</w:t>
            </w:r>
            <w:r w:rsidRPr="003E620E">
              <w:rPr>
                <w:rFonts w:ascii="Calibri" w:hAnsi="Calibri" w:cs="Calibri"/>
                <w:color w:val="0070C0"/>
              </w:rPr>
              <w:fldChar w:fldCharType="end"/>
            </w:r>
            <w:r w:rsidRPr="003E620E">
              <w:rPr>
                <w:rFonts w:ascii="Calibri" w:hAnsi="Calibri" w:cs="Calibri"/>
                <w:color w:val="0070C0"/>
              </w:rPr>
              <w:t xml:space="preserve">. Thermally treated food may stimulate a </w:t>
            </w:r>
            <w:r w:rsidRPr="003E620E">
              <w:rPr>
                <w:rFonts w:ascii="Calibri" w:hAnsi="Calibri" w:cs="Calibri"/>
                <w:color w:val="0070C0"/>
              </w:rPr>
              <w:lastRenderedPageBreak/>
              <w:t xml:space="preserve">cascade of reactions commonly known as the </w:t>
            </w:r>
            <w:proofErr w:type="spellStart"/>
            <w:r w:rsidRPr="003E620E">
              <w:rPr>
                <w:rFonts w:ascii="Calibri" w:hAnsi="Calibri" w:cs="Calibri"/>
                <w:color w:val="0070C0"/>
              </w:rPr>
              <w:t>Maillard</w:t>
            </w:r>
            <w:proofErr w:type="spellEnd"/>
            <w:r w:rsidRPr="003E620E">
              <w:rPr>
                <w:rFonts w:ascii="Calibri" w:hAnsi="Calibri" w:cs="Calibri"/>
                <w:color w:val="0070C0"/>
              </w:rPr>
              <w:t xml:space="preserve"> reactions (MR), also referred to as </w:t>
            </w:r>
            <w:proofErr w:type="spellStart"/>
            <w:r w:rsidRPr="003E620E">
              <w:rPr>
                <w:rFonts w:ascii="Calibri" w:hAnsi="Calibri" w:cs="Calibri"/>
                <w:color w:val="0070C0"/>
              </w:rPr>
              <w:t>nonenzymatic</w:t>
            </w:r>
            <w:proofErr w:type="spellEnd"/>
            <w:r w:rsidRPr="003E620E">
              <w:rPr>
                <w:rFonts w:ascii="Calibri" w:hAnsi="Calibri" w:cs="Calibri"/>
                <w:color w:val="0070C0"/>
              </w:rPr>
              <w:t xml:space="preserve"> browning. These reactions are particularly important for the formation of flavor and color in heated food</w:t>
            </w:r>
          </w:p>
        </w:tc>
      </w:tr>
      <w:tr w:rsidR="00C441F8" w:rsidRPr="003E620E" w:rsidTr="00A121F4">
        <w:trPr>
          <w:trHeight w:val="486"/>
          <w:jc w:val="center"/>
        </w:trPr>
        <w:tc>
          <w:tcPr>
            <w:tcW w:w="1791" w:type="dxa"/>
          </w:tcPr>
          <w:p w:rsidR="00C441F8" w:rsidRPr="003E620E" w:rsidRDefault="00C441F8" w:rsidP="00B72EEB">
            <w:pPr>
              <w:rPr>
                <w:rFonts w:ascii="Calibri" w:hAnsi="Calibri" w:cs="Calibri"/>
              </w:rPr>
            </w:pPr>
          </w:p>
        </w:tc>
        <w:tc>
          <w:tcPr>
            <w:tcW w:w="3342" w:type="dxa"/>
          </w:tcPr>
          <w:p w:rsidR="00C441F8" w:rsidRPr="003E620E" w:rsidRDefault="00E73209" w:rsidP="00B72EEB">
            <w:pPr>
              <w:rPr>
                <w:rFonts w:ascii="Calibri" w:hAnsi="Calibri" w:cs="Calibri"/>
              </w:rPr>
            </w:pPr>
            <w:r w:rsidRPr="003E620E">
              <w:rPr>
                <w:rFonts w:ascii="Calibri" w:hAnsi="Calibri" w:cs="Calibri"/>
                <w:color w:val="0C0E18"/>
                <w:shd w:val="clear" w:color="auto" w:fill="FFFFFF"/>
              </w:rPr>
              <w:t>T</w:t>
            </w:r>
            <w:r w:rsidRPr="003E620E">
              <w:rPr>
                <w:rFonts w:ascii="Calibri" w:hAnsi="Calibri" w:cs="Calibri"/>
                <w:color w:val="0C0E18"/>
                <w:shd w:val="clear" w:color="auto" w:fill="FFFFFF"/>
              </w:rPr>
              <w:t>he discussion should be revised to improve clarity and avoid overly optimistic or unsubstantiated claims (e.g., “promotion of weight gain”). A more critical discussion is warranted regarding the bioavailability of micronutrients and possible physicochemical synergies between the ingredients.</w:t>
            </w:r>
          </w:p>
        </w:tc>
        <w:tc>
          <w:tcPr>
            <w:tcW w:w="4439" w:type="dxa"/>
          </w:tcPr>
          <w:p w:rsidR="00C441F8" w:rsidRPr="003E620E" w:rsidRDefault="00E73209" w:rsidP="00B72EEB">
            <w:pPr>
              <w:rPr>
                <w:rFonts w:ascii="Calibri" w:hAnsi="Calibri" w:cs="Calibri"/>
              </w:rPr>
            </w:pPr>
            <w:r w:rsidRPr="003E620E">
              <w:rPr>
                <w:rFonts w:ascii="Calibri" w:hAnsi="Calibri" w:cs="Calibri"/>
              </w:rPr>
              <w:t>This has been revised</w:t>
            </w:r>
          </w:p>
        </w:tc>
      </w:tr>
      <w:tr w:rsidR="00C441F8" w:rsidRPr="003E620E" w:rsidTr="00A121F4">
        <w:trPr>
          <w:trHeight w:val="486"/>
          <w:jc w:val="center"/>
        </w:trPr>
        <w:tc>
          <w:tcPr>
            <w:tcW w:w="1791" w:type="dxa"/>
          </w:tcPr>
          <w:p w:rsidR="00C441F8" w:rsidRPr="003E620E" w:rsidRDefault="00C441F8" w:rsidP="00B72EEB">
            <w:pPr>
              <w:rPr>
                <w:rFonts w:ascii="Calibri" w:hAnsi="Calibri" w:cs="Calibri"/>
              </w:rPr>
            </w:pPr>
          </w:p>
        </w:tc>
        <w:tc>
          <w:tcPr>
            <w:tcW w:w="3342" w:type="dxa"/>
          </w:tcPr>
          <w:p w:rsidR="00C441F8" w:rsidRPr="003E620E" w:rsidRDefault="00E73209" w:rsidP="00B72EEB">
            <w:pPr>
              <w:rPr>
                <w:rFonts w:ascii="Calibri" w:hAnsi="Calibri" w:cs="Calibri"/>
              </w:rPr>
            </w:pPr>
            <w:r w:rsidRPr="003E620E">
              <w:rPr>
                <w:rFonts w:ascii="Calibri" w:hAnsi="Calibri" w:cs="Calibri"/>
                <w:color w:val="0C0E18"/>
                <w:shd w:val="clear" w:color="auto" w:fill="FFFFFF"/>
              </w:rPr>
              <w:t>Statements about public health impacts should be reformulated more cautiously. Additionally, a dedicated section discussing the study’s limitations should be included (e.g., lack of digestibility evaluation, sensory data limited to young adult participants, absence of industrial-scale validation</w:t>
            </w:r>
          </w:p>
        </w:tc>
        <w:tc>
          <w:tcPr>
            <w:tcW w:w="4439" w:type="dxa"/>
          </w:tcPr>
          <w:p w:rsidR="00B72EEB" w:rsidRPr="003E620E" w:rsidRDefault="00B72EEB" w:rsidP="00EE6020">
            <w:pPr>
              <w:pStyle w:val="ListParagraph"/>
              <w:rPr>
                <w:rFonts w:cs="Calibri"/>
                <w:color w:val="0070C0"/>
              </w:rPr>
            </w:pPr>
            <w:r w:rsidRPr="003E620E">
              <w:rPr>
                <w:rFonts w:cs="Calibri"/>
                <w:color w:val="0070C0"/>
              </w:rPr>
              <w:t>The biscuit developed in this study, based on local ingredients such as pumpkin, red bean, and anchovy, demonstrated high levels of protein and calcium. In addition to its nutritional benefits, the product met food safety standards, indicating its feasibility as a supplementary food for malnourished toddlers. The use of these accessible and affordable ingredients further supports their application in community nutrition programs. The limitations of this study include the lack of digestibility evaluation, sensory data limited to young adult participants, and the absence of industrial-scale validation.</w:t>
            </w:r>
          </w:p>
          <w:p w:rsidR="00C441F8" w:rsidRPr="003E620E" w:rsidRDefault="00C441F8" w:rsidP="00B72EEB">
            <w:pPr>
              <w:rPr>
                <w:rFonts w:ascii="Calibri" w:hAnsi="Calibri" w:cs="Calibri"/>
              </w:rPr>
            </w:pPr>
          </w:p>
        </w:tc>
      </w:tr>
      <w:tr w:rsidR="00C441F8" w:rsidRPr="003E620E" w:rsidTr="00A121F4">
        <w:trPr>
          <w:trHeight w:val="486"/>
          <w:jc w:val="center"/>
        </w:trPr>
        <w:tc>
          <w:tcPr>
            <w:tcW w:w="1791" w:type="dxa"/>
          </w:tcPr>
          <w:p w:rsidR="00C441F8" w:rsidRPr="003E620E" w:rsidRDefault="00C441F8" w:rsidP="00B72EEB">
            <w:pPr>
              <w:rPr>
                <w:rFonts w:ascii="Calibri" w:hAnsi="Calibri" w:cs="Calibri"/>
              </w:rPr>
            </w:pPr>
          </w:p>
        </w:tc>
        <w:tc>
          <w:tcPr>
            <w:tcW w:w="3342" w:type="dxa"/>
          </w:tcPr>
          <w:p w:rsidR="003E620E" w:rsidRPr="003E620E" w:rsidRDefault="003E620E" w:rsidP="003E620E">
            <w:pPr>
              <w:pStyle w:val="NormalWeb"/>
              <w:rPr>
                <w:rFonts w:ascii="Calibri" w:hAnsi="Calibri" w:cs="Calibri"/>
                <w:color w:val="0C0E18"/>
                <w:sz w:val="22"/>
                <w:szCs w:val="22"/>
              </w:rPr>
            </w:pPr>
            <w:r w:rsidRPr="003E620E">
              <w:rPr>
                <w:rFonts w:ascii="Calibri" w:hAnsi="Calibri" w:cs="Calibri"/>
                <w:color w:val="0C0E18"/>
                <w:sz w:val="22"/>
                <w:szCs w:val="22"/>
              </w:rPr>
              <w:t>Although the manuscript is generally comprehensible, it requires moderate language editing. Certain terms appear inadequately used (e.g., “the resulting peanut,” “anchovy were”), and some sentences are unnecessarily long or convoluted. A professional revision of the English language would enhance clarity and readability.</w:t>
            </w:r>
          </w:p>
          <w:p w:rsidR="00C441F8" w:rsidRPr="003E620E" w:rsidRDefault="00C441F8" w:rsidP="00B72EEB">
            <w:pPr>
              <w:rPr>
                <w:rFonts w:ascii="Calibri" w:hAnsi="Calibri" w:cs="Calibri"/>
              </w:rPr>
            </w:pPr>
          </w:p>
        </w:tc>
        <w:tc>
          <w:tcPr>
            <w:tcW w:w="4439" w:type="dxa"/>
          </w:tcPr>
          <w:p w:rsidR="00C441F8" w:rsidRPr="003E620E" w:rsidRDefault="003E620E" w:rsidP="00B72EEB">
            <w:pPr>
              <w:rPr>
                <w:rFonts w:ascii="Calibri" w:hAnsi="Calibri" w:cs="Calibri"/>
              </w:rPr>
            </w:pPr>
            <w:r w:rsidRPr="003E620E">
              <w:rPr>
                <w:rFonts w:ascii="Calibri" w:hAnsi="Calibri" w:cs="Calibri"/>
              </w:rPr>
              <w:t>The manuscript is currently undergoing professional English language revision</w:t>
            </w:r>
          </w:p>
        </w:tc>
      </w:tr>
    </w:tbl>
    <w:p w:rsidR="001960F6" w:rsidRPr="003E620E" w:rsidRDefault="001960F6" w:rsidP="00B72EEB">
      <w:pPr>
        <w:spacing w:after="0" w:line="240" w:lineRule="auto"/>
        <w:rPr>
          <w:rFonts w:ascii="Calibri" w:hAnsi="Calibri" w:cs="Calibri"/>
        </w:rPr>
      </w:pPr>
    </w:p>
    <w:p w:rsidR="00501AD2" w:rsidRPr="003E620E" w:rsidRDefault="00501AD2" w:rsidP="00B72EEB">
      <w:pPr>
        <w:spacing w:after="0" w:line="240" w:lineRule="auto"/>
        <w:rPr>
          <w:rFonts w:ascii="Calibri" w:hAnsi="Calibri" w:cs="Calibri"/>
        </w:rPr>
      </w:pPr>
    </w:p>
    <w:p w:rsidR="00501AD2" w:rsidRPr="003E620E" w:rsidRDefault="00501AD2" w:rsidP="00B72EEB">
      <w:pPr>
        <w:spacing w:after="0" w:line="240" w:lineRule="auto"/>
        <w:rPr>
          <w:rFonts w:ascii="Calibri" w:hAnsi="Calibri" w:cs="Calibri"/>
        </w:rPr>
      </w:pPr>
    </w:p>
    <w:p w:rsidR="00501AD2" w:rsidRPr="003E620E" w:rsidRDefault="00501AD2" w:rsidP="00B72EEB">
      <w:pPr>
        <w:spacing w:after="0" w:line="240" w:lineRule="auto"/>
        <w:rPr>
          <w:rFonts w:ascii="Calibri" w:hAnsi="Calibri" w:cs="Calibri"/>
        </w:rPr>
      </w:pPr>
    </w:p>
    <w:p w:rsidR="00501AD2" w:rsidRPr="003E620E" w:rsidRDefault="00501AD2" w:rsidP="00B72EEB">
      <w:pPr>
        <w:spacing w:after="0" w:line="240" w:lineRule="auto"/>
        <w:rPr>
          <w:rFonts w:ascii="Calibri" w:hAnsi="Calibri" w:cs="Calibri"/>
        </w:rPr>
      </w:pPr>
      <w:bookmarkStart w:id="0" w:name="_GoBack"/>
      <w:bookmarkEnd w:id="0"/>
    </w:p>
    <w:sectPr w:rsidR="00501AD2" w:rsidRPr="003E6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0E3F"/>
    <w:multiLevelType w:val="multilevel"/>
    <w:tmpl w:val="8A067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A5B13"/>
    <w:multiLevelType w:val="multilevel"/>
    <w:tmpl w:val="862EF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CB16D5"/>
    <w:multiLevelType w:val="multilevel"/>
    <w:tmpl w:val="1E40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6571A2"/>
    <w:multiLevelType w:val="multilevel"/>
    <w:tmpl w:val="6CB03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DA22A7"/>
    <w:multiLevelType w:val="multilevel"/>
    <w:tmpl w:val="100AC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7E"/>
    <w:rsid w:val="00095A0B"/>
    <w:rsid w:val="0010440B"/>
    <w:rsid w:val="001960F6"/>
    <w:rsid w:val="001A0A95"/>
    <w:rsid w:val="00267D20"/>
    <w:rsid w:val="0032196F"/>
    <w:rsid w:val="0033674D"/>
    <w:rsid w:val="003E620E"/>
    <w:rsid w:val="00501AD2"/>
    <w:rsid w:val="006E0BB9"/>
    <w:rsid w:val="00805ECE"/>
    <w:rsid w:val="008875D3"/>
    <w:rsid w:val="00A03C3D"/>
    <w:rsid w:val="00A121F4"/>
    <w:rsid w:val="00A75E08"/>
    <w:rsid w:val="00B11A96"/>
    <w:rsid w:val="00B72EEB"/>
    <w:rsid w:val="00BE687E"/>
    <w:rsid w:val="00C441F8"/>
    <w:rsid w:val="00C447FD"/>
    <w:rsid w:val="00CC2A87"/>
    <w:rsid w:val="00CC42BC"/>
    <w:rsid w:val="00DD1972"/>
    <w:rsid w:val="00E70EF9"/>
    <w:rsid w:val="00E73209"/>
    <w:rsid w:val="00EC3865"/>
    <w:rsid w:val="00EE6020"/>
    <w:rsid w:val="00F474BE"/>
    <w:rsid w:val="00FF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7E"/>
    <w:rPr>
      <w:kern w:val="0"/>
    </w:rPr>
  </w:style>
  <w:style w:type="paragraph" w:styleId="Heading1">
    <w:name w:val="heading 1"/>
    <w:basedOn w:val="Normal"/>
    <w:next w:val="Normal"/>
    <w:link w:val="Heading1Char"/>
    <w:uiPriority w:val="9"/>
    <w:qFormat/>
    <w:rsid w:val="00BE68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87E"/>
    <w:rPr>
      <w:rFonts w:asciiTheme="majorHAnsi" w:eastAsiaTheme="majorEastAsia" w:hAnsiTheme="majorHAnsi" w:cstheme="majorBidi"/>
      <w:b/>
      <w:bCs/>
      <w:color w:val="365F91" w:themeColor="accent1" w:themeShade="BF"/>
      <w:kern w:val="0"/>
      <w:sz w:val="28"/>
      <w:szCs w:val="28"/>
    </w:rPr>
  </w:style>
  <w:style w:type="table" w:styleId="TableGrid">
    <w:name w:val="Table Grid"/>
    <w:basedOn w:val="TableNormal"/>
    <w:uiPriority w:val="59"/>
    <w:rsid w:val="00BE687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4034511218720824602gmail-il">
    <w:name w:val="m_-4034511218720824602gmail-il"/>
    <w:basedOn w:val="DefaultParagraphFont"/>
    <w:rsid w:val="00BE687E"/>
  </w:style>
  <w:style w:type="paragraph" w:customStyle="1" w:styleId="m-944552144262275309gmail-p1">
    <w:name w:val="m_-944552144262275309gmail-p1"/>
    <w:basedOn w:val="Normal"/>
    <w:rsid w:val="00BE687E"/>
    <w:pPr>
      <w:spacing w:before="100" w:beforeAutospacing="1" w:after="100" w:afterAutospacing="1" w:line="240" w:lineRule="auto"/>
    </w:pPr>
    <w:rPr>
      <w:rFonts w:ascii="Times" w:hAnsi="Times"/>
      <w:sz w:val="20"/>
      <w:szCs w:val="20"/>
    </w:rPr>
  </w:style>
  <w:style w:type="character" w:customStyle="1" w:styleId="m-944552144262275309gmail-s1">
    <w:name w:val="m_-944552144262275309gmail-s1"/>
    <w:basedOn w:val="DefaultParagraphFont"/>
    <w:rsid w:val="00BE687E"/>
  </w:style>
  <w:style w:type="character" w:styleId="Emphasis">
    <w:name w:val="Emphasis"/>
    <w:uiPriority w:val="20"/>
    <w:qFormat/>
    <w:rsid w:val="00BE687E"/>
    <w:rPr>
      <w:i/>
      <w:iCs/>
    </w:rPr>
  </w:style>
  <w:style w:type="paragraph" w:customStyle="1" w:styleId="09BodyIndent">
    <w:name w:val="09 Body Indent"/>
    <w:basedOn w:val="Normal"/>
    <w:link w:val="09BodyIndentChar"/>
    <w:autoRedefine/>
    <w:qFormat/>
    <w:rsid w:val="00BE687E"/>
    <w:pPr>
      <w:autoSpaceDE w:val="0"/>
      <w:autoSpaceDN w:val="0"/>
      <w:adjustRightInd w:val="0"/>
      <w:spacing w:after="0" w:line="360" w:lineRule="auto"/>
      <w:jc w:val="both"/>
    </w:pPr>
    <w:rPr>
      <w:rFonts w:ascii="Calibri" w:eastAsia="SimSun" w:hAnsi="Calibri" w:cs="Calibri"/>
      <w:lang w:eastAsia="zh-CN"/>
    </w:rPr>
  </w:style>
  <w:style w:type="character" w:customStyle="1" w:styleId="09BodyIndentChar">
    <w:name w:val="09 Body Indent Char"/>
    <w:link w:val="09BodyIndent"/>
    <w:rsid w:val="00BE687E"/>
    <w:rPr>
      <w:rFonts w:ascii="Calibri" w:eastAsia="SimSun" w:hAnsi="Calibri" w:cs="Calibri"/>
      <w:kern w:val="0"/>
      <w:lang w:eastAsia="zh-CN"/>
    </w:rPr>
  </w:style>
  <w:style w:type="character" w:styleId="Strong">
    <w:name w:val="Strong"/>
    <w:basedOn w:val="DefaultParagraphFont"/>
    <w:uiPriority w:val="22"/>
    <w:qFormat/>
    <w:rsid w:val="00A03C3D"/>
    <w:rPr>
      <w:b/>
      <w:bCs/>
    </w:rPr>
  </w:style>
  <w:style w:type="paragraph" w:styleId="ListParagraph">
    <w:name w:val="List Paragraph"/>
    <w:basedOn w:val="Normal"/>
    <w:uiPriority w:val="34"/>
    <w:qFormat/>
    <w:rsid w:val="00A121F4"/>
    <w:pPr>
      <w:widowControl w:val="0"/>
      <w:spacing w:after="0" w:line="240" w:lineRule="auto"/>
      <w:jc w:val="both"/>
    </w:pPr>
    <w:rPr>
      <w:rFonts w:ascii="Calibri" w:eastAsia="Calibri" w:hAnsi="Calibri" w:cs="Times New Roman"/>
      <w14:ligatures w14:val="none"/>
    </w:rPr>
  </w:style>
  <w:style w:type="paragraph" w:styleId="NormalWeb">
    <w:name w:val="Normal (Web)"/>
    <w:basedOn w:val="Normal"/>
    <w:uiPriority w:val="99"/>
    <w:unhideWhenUsed/>
    <w:rsid w:val="00FF7721"/>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7E"/>
    <w:rPr>
      <w:kern w:val="0"/>
    </w:rPr>
  </w:style>
  <w:style w:type="paragraph" w:styleId="Heading1">
    <w:name w:val="heading 1"/>
    <w:basedOn w:val="Normal"/>
    <w:next w:val="Normal"/>
    <w:link w:val="Heading1Char"/>
    <w:uiPriority w:val="9"/>
    <w:qFormat/>
    <w:rsid w:val="00BE68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87E"/>
    <w:rPr>
      <w:rFonts w:asciiTheme="majorHAnsi" w:eastAsiaTheme="majorEastAsia" w:hAnsiTheme="majorHAnsi" w:cstheme="majorBidi"/>
      <w:b/>
      <w:bCs/>
      <w:color w:val="365F91" w:themeColor="accent1" w:themeShade="BF"/>
      <w:kern w:val="0"/>
      <w:sz w:val="28"/>
      <w:szCs w:val="28"/>
    </w:rPr>
  </w:style>
  <w:style w:type="table" w:styleId="TableGrid">
    <w:name w:val="Table Grid"/>
    <w:basedOn w:val="TableNormal"/>
    <w:uiPriority w:val="59"/>
    <w:rsid w:val="00BE687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4034511218720824602gmail-il">
    <w:name w:val="m_-4034511218720824602gmail-il"/>
    <w:basedOn w:val="DefaultParagraphFont"/>
    <w:rsid w:val="00BE687E"/>
  </w:style>
  <w:style w:type="paragraph" w:customStyle="1" w:styleId="m-944552144262275309gmail-p1">
    <w:name w:val="m_-944552144262275309gmail-p1"/>
    <w:basedOn w:val="Normal"/>
    <w:rsid w:val="00BE687E"/>
    <w:pPr>
      <w:spacing w:before="100" w:beforeAutospacing="1" w:after="100" w:afterAutospacing="1" w:line="240" w:lineRule="auto"/>
    </w:pPr>
    <w:rPr>
      <w:rFonts w:ascii="Times" w:hAnsi="Times"/>
      <w:sz w:val="20"/>
      <w:szCs w:val="20"/>
    </w:rPr>
  </w:style>
  <w:style w:type="character" w:customStyle="1" w:styleId="m-944552144262275309gmail-s1">
    <w:name w:val="m_-944552144262275309gmail-s1"/>
    <w:basedOn w:val="DefaultParagraphFont"/>
    <w:rsid w:val="00BE687E"/>
  </w:style>
  <w:style w:type="character" w:styleId="Emphasis">
    <w:name w:val="Emphasis"/>
    <w:uiPriority w:val="20"/>
    <w:qFormat/>
    <w:rsid w:val="00BE687E"/>
    <w:rPr>
      <w:i/>
      <w:iCs/>
    </w:rPr>
  </w:style>
  <w:style w:type="paragraph" w:customStyle="1" w:styleId="09BodyIndent">
    <w:name w:val="09 Body Indent"/>
    <w:basedOn w:val="Normal"/>
    <w:link w:val="09BodyIndentChar"/>
    <w:autoRedefine/>
    <w:qFormat/>
    <w:rsid w:val="00BE687E"/>
    <w:pPr>
      <w:autoSpaceDE w:val="0"/>
      <w:autoSpaceDN w:val="0"/>
      <w:adjustRightInd w:val="0"/>
      <w:spacing w:after="0" w:line="360" w:lineRule="auto"/>
      <w:jc w:val="both"/>
    </w:pPr>
    <w:rPr>
      <w:rFonts w:ascii="Calibri" w:eastAsia="SimSun" w:hAnsi="Calibri" w:cs="Calibri"/>
      <w:lang w:eastAsia="zh-CN"/>
    </w:rPr>
  </w:style>
  <w:style w:type="character" w:customStyle="1" w:styleId="09BodyIndentChar">
    <w:name w:val="09 Body Indent Char"/>
    <w:link w:val="09BodyIndent"/>
    <w:rsid w:val="00BE687E"/>
    <w:rPr>
      <w:rFonts w:ascii="Calibri" w:eastAsia="SimSun" w:hAnsi="Calibri" w:cs="Calibri"/>
      <w:kern w:val="0"/>
      <w:lang w:eastAsia="zh-CN"/>
    </w:rPr>
  </w:style>
  <w:style w:type="character" w:styleId="Strong">
    <w:name w:val="Strong"/>
    <w:basedOn w:val="DefaultParagraphFont"/>
    <w:uiPriority w:val="22"/>
    <w:qFormat/>
    <w:rsid w:val="00A03C3D"/>
    <w:rPr>
      <w:b/>
      <w:bCs/>
    </w:rPr>
  </w:style>
  <w:style w:type="paragraph" w:styleId="ListParagraph">
    <w:name w:val="List Paragraph"/>
    <w:basedOn w:val="Normal"/>
    <w:uiPriority w:val="34"/>
    <w:qFormat/>
    <w:rsid w:val="00A121F4"/>
    <w:pPr>
      <w:widowControl w:val="0"/>
      <w:spacing w:after="0" w:line="240" w:lineRule="auto"/>
      <w:jc w:val="both"/>
    </w:pPr>
    <w:rPr>
      <w:rFonts w:ascii="Calibri" w:eastAsia="Calibri" w:hAnsi="Calibri" w:cs="Times New Roman"/>
      <w14:ligatures w14:val="none"/>
    </w:rPr>
  </w:style>
  <w:style w:type="paragraph" w:styleId="NormalWeb">
    <w:name w:val="Normal (Web)"/>
    <w:basedOn w:val="Normal"/>
    <w:uiPriority w:val="99"/>
    <w:unhideWhenUsed/>
    <w:rsid w:val="00FF7721"/>
    <w:pPr>
      <w:spacing w:before="100" w:beforeAutospacing="1" w:after="100" w:afterAutospacing="1" w:line="240" w:lineRule="auto"/>
    </w:pPr>
    <w:rPr>
      <w:rFonts w:ascii="Times New Roman" w:eastAsia="Times New Roman" w:hAnsi="Times New Roman" w:cs="Times New Roman"/>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678822">
      <w:bodyDiv w:val="1"/>
      <w:marLeft w:val="0"/>
      <w:marRight w:val="0"/>
      <w:marTop w:val="0"/>
      <w:marBottom w:val="0"/>
      <w:divBdr>
        <w:top w:val="none" w:sz="0" w:space="0" w:color="auto"/>
        <w:left w:val="none" w:sz="0" w:space="0" w:color="auto"/>
        <w:bottom w:val="none" w:sz="0" w:space="0" w:color="auto"/>
        <w:right w:val="none" w:sz="0" w:space="0" w:color="auto"/>
      </w:divBdr>
    </w:div>
    <w:div w:id="888957600">
      <w:bodyDiv w:val="1"/>
      <w:marLeft w:val="0"/>
      <w:marRight w:val="0"/>
      <w:marTop w:val="0"/>
      <w:marBottom w:val="0"/>
      <w:divBdr>
        <w:top w:val="none" w:sz="0" w:space="0" w:color="auto"/>
        <w:left w:val="none" w:sz="0" w:space="0" w:color="auto"/>
        <w:bottom w:val="none" w:sz="0" w:space="0" w:color="auto"/>
        <w:right w:val="none" w:sz="0" w:space="0" w:color="auto"/>
      </w:divBdr>
    </w:div>
    <w:div w:id="1041247840">
      <w:bodyDiv w:val="1"/>
      <w:marLeft w:val="0"/>
      <w:marRight w:val="0"/>
      <w:marTop w:val="0"/>
      <w:marBottom w:val="0"/>
      <w:divBdr>
        <w:top w:val="none" w:sz="0" w:space="0" w:color="auto"/>
        <w:left w:val="none" w:sz="0" w:space="0" w:color="auto"/>
        <w:bottom w:val="none" w:sz="0" w:space="0" w:color="auto"/>
        <w:right w:val="none" w:sz="0" w:space="0" w:color="auto"/>
      </w:divBdr>
    </w:div>
    <w:div w:id="1064910207">
      <w:bodyDiv w:val="1"/>
      <w:marLeft w:val="0"/>
      <w:marRight w:val="0"/>
      <w:marTop w:val="0"/>
      <w:marBottom w:val="0"/>
      <w:divBdr>
        <w:top w:val="none" w:sz="0" w:space="0" w:color="auto"/>
        <w:left w:val="none" w:sz="0" w:space="0" w:color="auto"/>
        <w:bottom w:val="none" w:sz="0" w:space="0" w:color="auto"/>
        <w:right w:val="none" w:sz="0" w:space="0" w:color="auto"/>
      </w:divBdr>
    </w:div>
    <w:div w:id="17798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3</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dcterms:created xsi:type="dcterms:W3CDTF">2025-07-17T10:16:00Z</dcterms:created>
  <dcterms:modified xsi:type="dcterms:W3CDTF">2025-07-18T00:37:00Z</dcterms:modified>
</cp:coreProperties>
</file>